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79" w:rsidRPr="001A5162" w:rsidRDefault="00E01379" w:rsidP="00E01379">
      <w:pPr>
        <w:pStyle w:val="Heading2"/>
        <w:ind w:left="2160" w:firstLine="720"/>
        <w:rPr>
          <w:i/>
          <w:sz w:val="28"/>
          <w:szCs w:val="28"/>
        </w:rPr>
      </w:pPr>
      <w:bookmarkStart w:id="0" w:name="_Toc446532835"/>
      <w:r w:rsidRPr="001A5162">
        <w:rPr>
          <w:i/>
          <w:sz w:val="28"/>
          <w:szCs w:val="28"/>
        </w:rPr>
        <w:t xml:space="preserve">Finis vitae </w:t>
      </w:r>
      <w:proofErr w:type="spellStart"/>
      <w:r w:rsidRPr="001A5162">
        <w:rPr>
          <w:i/>
          <w:sz w:val="28"/>
          <w:szCs w:val="28"/>
        </w:rPr>
        <w:t>sed</w:t>
      </w:r>
      <w:proofErr w:type="spellEnd"/>
      <w:r w:rsidRPr="001A5162">
        <w:rPr>
          <w:i/>
          <w:sz w:val="28"/>
          <w:szCs w:val="28"/>
        </w:rPr>
        <w:t xml:space="preserve"> non </w:t>
      </w:r>
      <w:proofErr w:type="spellStart"/>
      <w:r w:rsidRPr="001A5162">
        <w:rPr>
          <w:i/>
          <w:sz w:val="28"/>
          <w:szCs w:val="28"/>
        </w:rPr>
        <w:t>amoris</w:t>
      </w:r>
      <w:proofErr w:type="spellEnd"/>
      <w:r w:rsidRPr="001A5162">
        <w:rPr>
          <w:i/>
          <w:sz w:val="28"/>
          <w:szCs w:val="28"/>
        </w:rPr>
        <w:t xml:space="preserve"> </w:t>
      </w:r>
    </w:p>
    <w:p w:rsidR="00E01379" w:rsidRPr="001A5162" w:rsidRDefault="00E01379" w:rsidP="00E01379">
      <w:pPr>
        <w:pStyle w:val="Heading2"/>
        <w:ind w:left="720" w:firstLine="720"/>
        <w:rPr>
          <w:sz w:val="28"/>
          <w:szCs w:val="28"/>
          <w:lang w:val="ro-RO"/>
        </w:rPr>
      </w:pPr>
      <w:r w:rsidRPr="001A5162">
        <w:rPr>
          <w:sz w:val="28"/>
          <w:szCs w:val="28"/>
        </w:rPr>
        <w:t xml:space="preserve">- </w:t>
      </w:r>
      <w:proofErr w:type="spellStart"/>
      <w:r w:rsidRPr="001A5162">
        <w:rPr>
          <w:sz w:val="28"/>
          <w:szCs w:val="28"/>
        </w:rPr>
        <w:t>Cotitatea</w:t>
      </w:r>
      <w:proofErr w:type="spellEnd"/>
      <w:r w:rsidRPr="001A5162">
        <w:rPr>
          <w:sz w:val="28"/>
          <w:szCs w:val="28"/>
        </w:rPr>
        <w:t xml:space="preserve"> </w:t>
      </w:r>
      <w:proofErr w:type="spellStart"/>
      <w:r w:rsidRPr="001A5162">
        <w:rPr>
          <w:sz w:val="28"/>
          <w:szCs w:val="28"/>
        </w:rPr>
        <w:t>disponibil</w:t>
      </w:r>
      <w:proofErr w:type="spellEnd"/>
      <w:r w:rsidRPr="001A5162">
        <w:rPr>
          <w:sz w:val="28"/>
          <w:szCs w:val="28"/>
          <w:lang w:val="ro-RO"/>
        </w:rPr>
        <w:t xml:space="preserve">ă specială a soţului supravieţuitor </w:t>
      </w:r>
      <w:bookmarkEnd w:id="0"/>
      <w:r w:rsidRPr="001A5162">
        <w:rPr>
          <w:sz w:val="28"/>
          <w:szCs w:val="28"/>
          <w:lang w:val="ro-RO"/>
        </w:rPr>
        <w:t>-</w:t>
      </w:r>
    </w:p>
    <w:p w:rsidR="00E01379" w:rsidRPr="00E01379" w:rsidRDefault="00E01379" w:rsidP="00E01379">
      <w:pPr>
        <w:spacing w:after="0" w:line="360" w:lineRule="auto"/>
        <w:jc w:val="both"/>
        <w:rPr>
          <w:lang w:val="ro-RO"/>
        </w:rPr>
      </w:pPr>
    </w:p>
    <w:p w:rsidR="004927A5" w:rsidRPr="00DD7CA8" w:rsidRDefault="00E01379" w:rsidP="004927A5">
      <w:pPr>
        <w:spacing w:line="360" w:lineRule="auto"/>
        <w:ind w:firstLine="720"/>
        <w:jc w:val="both"/>
        <w:rPr>
          <w:lang w:val="ro-RO"/>
        </w:rPr>
      </w:pPr>
      <w:r w:rsidRPr="00DD7CA8">
        <w:rPr>
          <w:lang w:val="ro-RO"/>
        </w:rPr>
        <w:t>Instituţia cotităţii disponibile sp</w:t>
      </w:r>
      <w:r>
        <w:rPr>
          <w:lang w:val="ro-RO"/>
        </w:rPr>
        <w:t>eciale a soţului supravieţuitor</w:t>
      </w:r>
      <w:r w:rsidRPr="00DD7CA8">
        <w:rPr>
          <w:lang w:val="ro-RO"/>
        </w:rPr>
        <w:t xml:space="preserve"> datorită importanţei, dar şi a controverselor create ca urmare a </w:t>
      </w:r>
      <w:r>
        <w:rPr>
          <w:lang w:val="ro-RO"/>
        </w:rPr>
        <w:t>legiferării acesteia</w:t>
      </w:r>
      <w:r w:rsidRPr="00DD7CA8">
        <w:rPr>
          <w:lang w:val="ro-RO"/>
        </w:rPr>
        <w:t xml:space="preserve">, </w:t>
      </w:r>
      <w:r>
        <w:rPr>
          <w:lang w:val="ro-RO"/>
        </w:rPr>
        <w:t xml:space="preserve">am considerat că </w:t>
      </w:r>
      <w:r w:rsidRPr="00DD7CA8">
        <w:rPr>
          <w:lang w:val="ro-RO"/>
        </w:rPr>
        <w:t xml:space="preserve">merită o analiză deosebită </w:t>
      </w:r>
      <w:r>
        <w:rPr>
          <w:lang w:val="ro-RO"/>
        </w:rPr>
        <w:t>şi pe aceste considerente am decis analiza textului de lege</w:t>
      </w:r>
      <w:r w:rsidRPr="00DD7CA8">
        <w:rPr>
          <w:lang w:val="ro-RO"/>
        </w:rPr>
        <w:t xml:space="preserve"> </w:t>
      </w:r>
      <w:r>
        <w:rPr>
          <w:lang w:val="ro-RO"/>
        </w:rPr>
        <w:t xml:space="preserve">respectând cele </w:t>
      </w:r>
      <w:r w:rsidRPr="00DD7CA8">
        <w:rPr>
          <w:lang w:val="ro-RO"/>
        </w:rPr>
        <w:t xml:space="preserve">şapte </w:t>
      </w:r>
      <w:r>
        <w:rPr>
          <w:lang w:val="ro-RO"/>
        </w:rPr>
        <w:t>trepte</w:t>
      </w:r>
      <w:r>
        <w:rPr>
          <w:rStyle w:val="FootnoteReference"/>
          <w:lang w:val="ro-RO"/>
        </w:rPr>
        <w:footnoteReference w:id="1"/>
      </w:r>
      <w:r>
        <w:rPr>
          <w:lang w:val="ro-RO"/>
        </w:rPr>
        <w:t xml:space="preserve"> ale metodologiei şcolii dreptului organic.</w:t>
      </w:r>
    </w:p>
    <w:p w:rsidR="007D0C08" w:rsidRDefault="009F76D3" w:rsidP="007D0C08">
      <w:pPr>
        <w:spacing w:line="360" w:lineRule="auto"/>
        <w:jc w:val="both"/>
        <w:rPr>
          <w:lang w:val="ro-RO"/>
        </w:rPr>
      </w:pPr>
      <w:r>
        <w:rPr>
          <w:lang w:val="ro-RO"/>
        </w:rPr>
        <w:tab/>
      </w:r>
      <w:r w:rsidR="00EC37F3" w:rsidRPr="00E01379">
        <w:rPr>
          <w:b/>
          <w:lang w:val="ro-RO"/>
        </w:rPr>
        <w:t xml:space="preserve">I - </w:t>
      </w:r>
      <w:r w:rsidRPr="00E01379">
        <w:rPr>
          <w:b/>
          <w:i/>
          <w:lang w:val="ro-RO"/>
        </w:rPr>
        <w:t>Primum dividam</w:t>
      </w:r>
      <w:r w:rsidR="00EC37F3">
        <w:rPr>
          <w:i/>
          <w:lang w:val="ro-RO"/>
        </w:rPr>
        <w:t xml:space="preserve">: </w:t>
      </w:r>
      <w:r w:rsidR="004927A5">
        <w:rPr>
          <w:lang w:val="ro-RO"/>
        </w:rPr>
        <w:t xml:space="preserve">Pentru a putea pătrunde în esenţa textului juridic, în primul rând este necesară atenta lui citire. </w:t>
      </w:r>
      <w:proofErr w:type="spellStart"/>
      <w:r w:rsidR="00EC37F3">
        <w:t>Potrivit</w:t>
      </w:r>
      <w:proofErr w:type="spellEnd"/>
      <w:r w:rsidR="00EC37F3">
        <w:t xml:space="preserve"> art. 1.090 C.civ.: </w:t>
      </w:r>
      <w:r w:rsidR="00EC37F3" w:rsidRPr="00190878">
        <w:rPr>
          <w:i/>
        </w:rPr>
        <w:t xml:space="preserve">(1) </w:t>
      </w:r>
      <w:proofErr w:type="spellStart"/>
      <w:r w:rsidR="00EC37F3" w:rsidRPr="00190878">
        <w:rPr>
          <w:i/>
        </w:rPr>
        <w:t>Liberalităţile</w:t>
      </w:r>
      <w:proofErr w:type="spellEnd"/>
      <w:r w:rsidR="00EC37F3" w:rsidRPr="00190878">
        <w:rPr>
          <w:i/>
        </w:rPr>
        <w:t xml:space="preserve"> </w:t>
      </w:r>
      <w:proofErr w:type="spellStart"/>
      <w:r w:rsidR="00EC37F3" w:rsidRPr="00190878">
        <w:rPr>
          <w:i/>
        </w:rPr>
        <w:t>neraportabile</w:t>
      </w:r>
      <w:proofErr w:type="spellEnd"/>
      <w:r w:rsidR="00EC37F3" w:rsidRPr="00190878">
        <w:rPr>
          <w:i/>
        </w:rPr>
        <w:t xml:space="preserve"> </w:t>
      </w:r>
      <w:proofErr w:type="spellStart"/>
      <w:r w:rsidR="00EC37F3" w:rsidRPr="00190878">
        <w:rPr>
          <w:i/>
        </w:rPr>
        <w:t>făcute</w:t>
      </w:r>
      <w:proofErr w:type="spellEnd"/>
      <w:r w:rsidR="00EC37F3" w:rsidRPr="00190878">
        <w:rPr>
          <w:i/>
        </w:rPr>
        <w:t xml:space="preserve"> </w:t>
      </w:r>
      <w:proofErr w:type="spellStart"/>
      <w:r w:rsidR="00EC37F3" w:rsidRPr="00190878">
        <w:rPr>
          <w:i/>
        </w:rPr>
        <w:t>soţului</w:t>
      </w:r>
      <w:proofErr w:type="spellEnd"/>
      <w:r w:rsidR="00EC37F3" w:rsidRPr="00190878">
        <w:rPr>
          <w:i/>
        </w:rPr>
        <w:t xml:space="preserve"> </w:t>
      </w:r>
      <w:proofErr w:type="spellStart"/>
      <w:r w:rsidR="00EC37F3" w:rsidRPr="00190878">
        <w:rPr>
          <w:i/>
        </w:rPr>
        <w:t>supravieţuitor</w:t>
      </w:r>
      <w:proofErr w:type="spellEnd"/>
      <w:r w:rsidR="00EC37F3" w:rsidRPr="00190878">
        <w:rPr>
          <w:i/>
        </w:rPr>
        <w:t xml:space="preserve">, care vine la </w:t>
      </w:r>
      <w:proofErr w:type="spellStart"/>
      <w:r w:rsidR="00EC37F3" w:rsidRPr="00190878">
        <w:rPr>
          <w:i/>
        </w:rPr>
        <w:t>moştenire</w:t>
      </w:r>
      <w:proofErr w:type="spellEnd"/>
      <w:r w:rsidR="00EC37F3" w:rsidRPr="00190878">
        <w:rPr>
          <w:i/>
        </w:rPr>
        <w:t xml:space="preserve"> </w:t>
      </w:r>
      <w:proofErr w:type="spellStart"/>
      <w:r w:rsidR="00EC37F3" w:rsidRPr="00190878">
        <w:rPr>
          <w:i/>
        </w:rPr>
        <w:t>în</w:t>
      </w:r>
      <w:proofErr w:type="spellEnd"/>
      <w:r w:rsidR="00EC37F3" w:rsidRPr="00190878">
        <w:rPr>
          <w:i/>
        </w:rPr>
        <w:t xml:space="preserve"> concurs cu </w:t>
      </w:r>
      <w:proofErr w:type="spellStart"/>
      <w:r w:rsidR="00EC37F3" w:rsidRPr="00190878">
        <w:rPr>
          <w:i/>
        </w:rPr>
        <w:t>alţi</w:t>
      </w:r>
      <w:proofErr w:type="spellEnd"/>
      <w:r w:rsidR="00EC37F3" w:rsidRPr="00190878">
        <w:rPr>
          <w:i/>
        </w:rPr>
        <w:t xml:space="preserve"> </w:t>
      </w:r>
      <w:proofErr w:type="spellStart"/>
      <w:r w:rsidR="00EC37F3" w:rsidRPr="00190878">
        <w:rPr>
          <w:i/>
        </w:rPr>
        <w:t>descendenţi</w:t>
      </w:r>
      <w:proofErr w:type="spellEnd"/>
      <w:r w:rsidR="00EC37F3" w:rsidRPr="00190878">
        <w:rPr>
          <w:i/>
        </w:rPr>
        <w:t xml:space="preserve"> </w:t>
      </w:r>
      <w:proofErr w:type="spellStart"/>
      <w:r w:rsidR="00EC37F3" w:rsidRPr="00190878">
        <w:rPr>
          <w:i/>
        </w:rPr>
        <w:t>decât</w:t>
      </w:r>
      <w:proofErr w:type="spellEnd"/>
      <w:r w:rsidR="00EC37F3" w:rsidRPr="00190878">
        <w:rPr>
          <w:i/>
        </w:rPr>
        <w:t xml:space="preserve"> </w:t>
      </w:r>
      <w:proofErr w:type="spellStart"/>
      <w:r w:rsidR="00EC37F3" w:rsidRPr="00190878">
        <w:rPr>
          <w:i/>
        </w:rPr>
        <w:t>cei</w:t>
      </w:r>
      <w:proofErr w:type="spellEnd"/>
      <w:r w:rsidR="00EC37F3" w:rsidRPr="00190878">
        <w:rPr>
          <w:i/>
        </w:rPr>
        <w:t xml:space="preserve"> </w:t>
      </w:r>
      <w:proofErr w:type="spellStart"/>
      <w:r w:rsidR="00EC37F3" w:rsidRPr="00190878">
        <w:rPr>
          <w:i/>
        </w:rPr>
        <w:t>comuni</w:t>
      </w:r>
      <w:proofErr w:type="spellEnd"/>
      <w:r w:rsidR="00EC37F3" w:rsidRPr="00190878">
        <w:rPr>
          <w:i/>
        </w:rPr>
        <w:t xml:space="preserve"> </w:t>
      </w:r>
      <w:proofErr w:type="spellStart"/>
      <w:r w:rsidR="00EC37F3" w:rsidRPr="00190878">
        <w:rPr>
          <w:i/>
        </w:rPr>
        <w:t>lor</w:t>
      </w:r>
      <w:proofErr w:type="spellEnd"/>
      <w:r w:rsidR="00EC37F3" w:rsidRPr="00190878">
        <w:rPr>
          <w:i/>
        </w:rPr>
        <w:t xml:space="preserve">, nu pot </w:t>
      </w:r>
      <w:proofErr w:type="spellStart"/>
      <w:r w:rsidR="00EC37F3" w:rsidRPr="00190878">
        <w:rPr>
          <w:i/>
        </w:rPr>
        <w:t>depăşi</w:t>
      </w:r>
      <w:proofErr w:type="spellEnd"/>
      <w:r w:rsidR="00EC37F3" w:rsidRPr="00190878">
        <w:rPr>
          <w:i/>
        </w:rPr>
        <w:t xml:space="preserve"> </w:t>
      </w:r>
      <w:proofErr w:type="gramStart"/>
      <w:r w:rsidR="00EC37F3" w:rsidRPr="00190878">
        <w:rPr>
          <w:i/>
        </w:rPr>
        <w:t>un</w:t>
      </w:r>
      <w:proofErr w:type="gramEnd"/>
      <w:r w:rsidR="00EC37F3" w:rsidRPr="00190878">
        <w:rPr>
          <w:i/>
        </w:rPr>
        <w:t xml:space="preserve"> </w:t>
      </w:r>
      <w:proofErr w:type="spellStart"/>
      <w:r w:rsidR="00EC37F3" w:rsidRPr="00190878">
        <w:rPr>
          <w:i/>
        </w:rPr>
        <w:t>sfert</w:t>
      </w:r>
      <w:proofErr w:type="spellEnd"/>
      <w:r w:rsidR="00EC37F3" w:rsidRPr="00190878">
        <w:rPr>
          <w:i/>
        </w:rPr>
        <w:t xml:space="preserve"> din </w:t>
      </w:r>
      <w:proofErr w:type="spellStart"/>
      <w:r w:rsidR="00EC37F3" w:rsidRPr="00190878">
        <w:rPr>
          <w:i/>
        </w:rPr>
        <w:t>moştenire</w:t>
      </w:r>
      <w:proofErr w:type="spellEnd"/>
      <w:r w:rsidR="00EC37F3" w:rsidRPr="00190878">
        <w:rPr>
          <w:i/>
        </w:rPr>
        <w:t xml:space="preserve"> </w:t>
      </w:r>
      <w:proofErr w:type="spellStart"/>
      <w:r w:rsidR="00EC37F3" w:rsidRPr="00190878">
        <w:rPr>
          <w:i/>
        </w:rPr>
        <w:t>şi</w:t>
      </w:r>
      <w:proofErr w:type="spellEnd"/>
      <w:r w:rsidR="00EC37F3" w:rsidRPr="00190878">
        <w:rPr>
          <w:i/>
        </w:rPr>
        <w:t xml:space="preserve"> </w:t>
      </w:r>
      <w:proofErr w:type="spellStart"/>
      <w:r w:rsidR="00EC37F3" w:rsidRPr="00190878">
        <w:rPr>
          <w:i/>
        </w:rPr>
        <w:t>nici</w:t>
      </w:r>
      <w:proofErr w:type="spellEnd"/>
      <w:r w:rsidR="00EC37F3" w:rsidRPr="00190878">
        <w:rPr>
          <w:i/>
        </w:rPr>
        <w:t xml:space="preserve"> </w:t>
      </w:r>
      <w:proofErr w:type="spellStart"/>
      <w:r w:rsidR="00EC37F3" w:rsidRPr="00190878">
        <w:rPr>
          <w:i/>
        </w:rPr>
        <w:t>partea</w:t>
      </w:r>
      <w:proofErr w:type="spellEnd"/>
      <w:r w:rsidR="00EC37F3" w:rsidRPr="00190878">
        <w:rPr>
          <w:i/>
        </w:rPr>
        <w:t xml:space="preserve"> </w:t>
      </w:r>
      <w:proofErr w:type="spellStart"/>
      <w:r w:rsidR="00EC37F3" w:rsidRPr="00190878">
        <w:rPr>
          <w:i/>
        </w:rPr>
        <w:t>descendentului</w:t>
      </w:r>
      <w:proofErr w:type="spellEnd"/>
      <w:r w:rsidR="00EC37F3" w:rsidRPr="00190878">
        <w:rPr>
          <w:i/>
        </w:rPr>
        <w:t xml:space="preserve"> care a </w:t>
      </w:r>
      <w:proofErr w:type="spellStart"/>
      <w:r w:rsidR="00EC37F3" w:rsidRPr="00190878">
        <w:rPr>
          <w:i/>
        </w:rPr>
        <w:t>primit</w:t>
      </w:r>
      <w:proofErr w:type="spellEnd"/>
      <w:r w:rsidR="00EC37F3" w:rsidRPr="00190878">
        <w:rPr>
          <w:i/>
        </w:rPr>
        <w:t xml:space="preserve"> </w:t>
      </w:r>
      <w:proofErr w:type="spellStart"/>
      <w:r w:rsidR="00EC37F3" w:rsidRPr="00190878">
        <w:rPr>
          <w:i/>
        </w:rPr>
        <w:t>cel</w:t>
      </w:r>
      <w:proofErr w:type="spellEnd"/>
      <w:r w:rsidR="00EC37F3" w:rsidRPr="00190878">
        <w:rPr>
          <w:i/>
        </w:rPr>
        <w:t xml:space="preserve"> </w:t>
      </w:r>
      <w:proofErr w:type="spellStart"/>
      <w:r w:rsidR="00EC37F3" w:rsidRPr="00190878">
        <w:rPr>
          <w:i/>
        </w:rPr>
        <w:t>mai</w:t>
      </w:r>
      <w:proofErr w:type="spellEnd"/>
      <w:r w:rsidR="00EC37F3" w:rsidRPr="00190878">
        <w:rPr>
          <w:i/>
        </w:rPr>
        <w:t xml:space="preserve"> </w:t>
      </w:r>
      <w:proofErr w:type="spellStart"/>
      <w:r w:rsidR="00EC37F3" w:rsidRPr="00190878">
        <w:rPr>
          <w:i/>
        </w:rPr>
        <w:t>puţin</w:t>
      </w:r>
      <w:proofErr w:type="spellEnd"/>
      <w:r w:rsidR="00EC37F3" w:rsidRPr="00190878">
        <w:rPr>
          <w:i/>
        </w:rPr>
        <w:t xml:space="preserve">. (2) </w:t>
      </w:r>
      <w:proofErr w:type="spellStart"/>
      <w:r w:rsidR="00EC37F3" w:rsidRPr="00190878">
        <w:rPr>
          <w:i/>
        </w:rPr>
        <w:t>Dacă</w:t>
      </w:r>
      <w:proofErr w:type="spellEnd"/>
      <w:r w:rsidR="00EC37F3" w:rsidRPr="00190878">
        <w:rPr>
          <w:i/>
        </w:rPr>
        <w:t xml:space="preserve"> </w:t>
      </w:r>
      <w:proofErr w:type="spellStart"/>
      <w:r w:rsidR="00EC37F3" w:rsidRPr="00190878">
        <w:rPr>
          <w:i/>
        </w:rPr>
        <w:t>defunctul</w:t>
      </w:r>
      <w:proofErr w:type="spellEnd"/>
      <w:r w:rsidR="00EC37F3" w:rsidRPr="00190878">
        <w:rPr>
          <w:i/>
        </w:rPr>
        <w:t xml:space="preserve"> nu a </w:t>
      </w:r>
      <w:proofErr w:type="spellStart"/>
      <w:r w:rsidR="00EC37F3" w:rsidRPr="00190878">
        <w:rPr>
          <w:i/>
        </w:rPr>
        <w:t>dispus</w:t>
      </w:r>
      <w:proofErr w:type="spellEnd"/>
      <w:r w:rsidR="00EC37F3" w:rsidRPr="00190878">
        <w:rPr>
          <w:i/>
        </w:rPr>
        <w:t xml:space="preserve"> </w:t>
      </w:r>
      <w:proofErr w:type="spellStart"/>
      <w:r w:rsidR="00EC37F3" w:rsidRPr="00190878">
        <w:rPr>
          <w:i/>
        </w:rPr>
        <w:t>prin</w:t>
      </w:r>
      <w:proofErr w:type="spellEnd"/>
      <w:r w:rsidR="00EC37F3" w:rsidRPr="00190878">
        <w:rPr>
          <w:i/>
        </w:rPr>
        <w:t xml:space="preserve"> </w:t>
      </w:r>
      <w:proofErr w:type="spellStart"/>
      <w:r w:rsidR="00EC37F3" w:rsidRPr="00190878">
        <w:rPr>
          <w:i/>
        </w:rPr>
        <w:t>liberalităţi</w:t>
      </w:r>
      <w:proofErr w:type="spellEnd"/>
      <w:r w:rsidR="00EC37F3" w:rsidRPr="00190878">
        <w:rPr>
          <w:i/>
        </w:rPr>
        <w:t xml:space="preserve"> de </w:t>
      </w:r>
      <w:proofErr w:type="spellStart"/>
      <w:r w:rsidR="00EC37F3" w:rsidRPr="00190878">
        <w:rPr>
          <w:i/>
        </w:rPr>
        <w:t>diferenţa</w:t>
      </w:r>
      <w:proofErr w:type="spellEnd"/>
      <w:r w:rsidR="00EC37F3" w:rsidRPr="00190878">
        <w:rPr>
          <w:i/>
        </w:rPr>
        <w:t xml:space="preserve"> </w:t>
      </w:r>
      <w:proofErr w:type="spellStart"/>
      <w:r w:rsidR="00EC37F3" w:rsidRPr="00190878">
        <w:rPr>
          <w:i/>
        </w:rPr>
        <w:t>dintre</w:t>
      </w:r>
      <w:proofErr w:type="spellEnd"/>
      <w:r w:rsidR="00EC37F3" w:rsidRPr="00190878">
        <w:rPr>
          <w:i/>
        </w:rPr>
        <w:t xml:space="preserve"> </w:t>
      </w:r>
      <w:proofErr w:type="spellStart"/>
      <w:r w:rsidR="00EC37F3" w:rsidRPr="00190878">
        <w:rPr>
          <w:i/>
        </w:rPr>
        <w:t>cotitatea</w:t>
      </w:r>
      <w:proofErr w:type="spellEnd"/>
      <w:r w:rsidR="00EC37F3" w:rsidRPr="00190878">
        <w:rPr>
          <w:i/>
        </w:rPr>
        <w:t xml:space="preserve"> </w:t>
      </w:r>
      <w:proofErr w:type="spellStart"/>
      <w:r w:rsidR="00EC37F3" w:rsidRPr="00190878">
        <w:rPr>
          <w:i/>
        </w:rPr>
        <w:t>disponibilă</w:t>
      </w:r>
      <w:proofErr w:type="spellEnd"/>
      <w:r w:rsidR="00EC37F3" w:rsidRPr="00190878">
        <w:rPr>
          <w:i/>
        </w:rPr>
        <w:t xml:space="preserve"> </w:t>
      </w:r>
      <w:proofErr w:type="spellStart"/>
      <w:r w:rsidR="00EC37F3" w:rsidRPr="00190878">
        <w:rPr>
          <w:i/>
        </w:rPr>
        <w:t>stabilită</w:t>
      </w:r>
      <w:proofErr w:type="spellEnd"/>
      <w:r w:rsidR="00EC37F3" w:rsidRPr="00190878">
        <w:rPr>
          <w:i/>
        </w:rPr>
        <w:t xml:space="preserve"> </w:t>
      </w:r>
      <w:proofErr w:type="spellStart"/>
      <w:r w:rsidR="00EC37F3" w:rsidRPr="00190878">
        <w:rPr>
          <w:i/>
        </w:rPr>
        <w:t>potrivit</w:t>
      </w:r>
      <w:proofErr w:type="spellEnd"/>
      <w:r w:rsidR="00EC37F3" w:rsidRPr="00190878">
        <w:rPr>
          <w:i/>
        </w:rPr>
        <w:t xml:space="preserve"> art. </w:t>
      </w:r>
      <w:proofErr w:type="gramStart"/>
      <w:r w:rsidR="00EC37F3" w:rsidRPr="00190878">
        <w:rPr>
          <w:i/>
        </w:rPr>
        <w:t>1</w:t>
      </w:r>
      <w:r w:rsidR="00EC37F3">
        <w:rPr>
          <w:i/>
        </w:rPr>
        <w:t>.</w:t>
      </w:r>
      <w:r w:rsidR="00EC37F3" w:rsidRPr="00190878">
        <w:rPr>
          <w:i/>
        </w:rPr>
        <w:t xml:space="preserve">089 </w:t>
      </w:r>
      <w:proofErr w:type="spellStart"/>
      <w:r w:rsidR="00EC37F3" w:rsidRPr="00190878">
        <w:rPr>
          <w:i/>
        </w:rPr>
        <w:t>şi</w:t>
      </w:r>
      <w:proofErr w:type="spellEnd"/>
      <w:r w:rsidR="00EC37F3" w:rsidRPr="00190878">
        <w:rPr>
          <w:i/>
        </w:rPr>
        <w:t xml:space="preserve"> </w:t>
      </w:r>
      <w:proofErr w:type="spellStart"/>
      <w:r w:rsidR="00EC37F3" w:rsidRPr="00190878">
        <w:rPr>
          <w:i/>
        </w:rPr>
        <w:t>cotitatea</w:t>
      </w:r>
      <w:proofErr w:type="spellEnd"/>
      <w:r w:rsidR="00EC37F3" w:rsidRPr="00190878">
        <w:rPr>
          <w:i/>
        </w:rPr>
        <w:t xml:space="preserve"> </w:t>
      </w:r>
      <w:proofErr w:type="spellStart"/>
      <w:r w:rsidR="00EC37F3" w:rsidRPr="00190878">
        <w:rPr>
          <w:i/>
        </w:rPr>
        <w:t>disponibilă</w:t>
      </w:r>
      <w:proofErr w:type="spellEnd"/>
      <w:r w:rsidR="00EC37F3" w:rsidRPr="00190878">
        <w:rPr>
          <w:i/>
        </w:rPr>
        <w:t xml:space="preserve"> </w:t>
      </w:r>
      <w:proofErr w:type="spellStart"/>
      <w:r w:rsidR="00EC37F3" w:rsidRPr="00190878">
        <w:rPr>
          <w:i/>
        </w:rPr>
        <w:t>special</w:t>
      </w:r>
      <w:r w:rsidR="00EC37F3">
        <w:rPr>
          <w:i/>
        </w:rPr>
        <w:t>ă</w:t>
      </w:r>
      <w:proofErr w:type="spellEnd"/>
      <w:r w:rsidR="00EC37F3" w:rsidRPr="00190878">
        <w:rPr>
          <w:i/>
        </w:rPr>
        <w:t xml:space="preserve">, </w:t>
      </w:r>
      <w:proofErr w:type="spellStart"/>
      <w:r w:rsidR="00EC37F3" w:rsidRPr="00190878">
        <w:rPr>
          <w:i/>
        </w:rPr>
        <w:t>atunci</w:t>
      </w:r>
      <w:proofErr w:type="spellEnd"/>
      <w:r w:rsidR="00EC37F3" w:rsidRPr="00190878">
        <w:rPr>
          <w:i/>
        </w:rPr>
        <w:t xml:space="preserve"> </w:t>
      </w:r>
      <w:proofErr w:type="spellStart"/>
      <w:r w:rsidR="00EC37F3" w:rsidRPr="00190878">
        <w:rPr>
          <w:i/>
        </w:rPr>
        <w:t>această</w:t>
      </w:r>
      <w:proofErr w:type="spellEnd"/>
      <w:r w:rsidR="00EC37F3" w:rsidRPr="00190878">
        <w:rPr>
          <w:i/>
        </w:rPr>
        <w:t xml:space="preserve"> </w:t>
      </w:r>
      <w:proofErr w:type="spellStart"/>
      <w:r w:rsidR="00EC37F3" w:rsidRPr="00190878">
        <w:rPr>
          <w:i/>
        </w:rPr>
        <w:t>diferenţă</w:t>
      </w:r>
      <w:proofErr w:type="spellEnd"/>
      <w:r w:rsidR="00EC37F3" w:rsidRPr="00190878">
        <w:rPr>
          <w:i/>
        </w:rPr>
        <w:t xml:space="preserve"> </w:t>
      </w:r>
      <w:proofErr w:type="spellStart"/>
      <w:r w:rsidR="00EC37F3" w:rsidRPr="00190878">
        <w:rPr>
          <w:i/>
        </w:rPr>
        <w:t>revine</w:t>
      </w:r>
      <w:proofErr w:type="spellEnd"/>
      <w:r w:rsidR="00EC37F3" w:rsidRPr="00190878">
        <w:rPr>
          <w:i/>
        </w:rPr>
        <w:t xml:space="preserve"> </w:t>
      </w:r>
      <w:proofErr w:type="spellStart"/>
      <w:r w:rsidR="00EC37F3" w:rsidRPr="00190878">
        <w:rPr>
          <w:i/>
        </w:rPr>
        <w:t>descendenţilor</w:t>
      </w:r>
      <w:proofErr w:type="spellEnd"/>
      <w:r w:rsidR="00EC37F3" w:rsidRPr="00190878">
        <w:rPr>
          <w:i/>
        </w:rPr>
        <w:t>.</w:t>
      </w:r>
      <w:proofErr w:type="gramEnd"/>
      <w:r w:rsidR="00EC37F3" w:rsidRPr="00190878">
        <w:rPr>
          <w:i/>
        </w:rPr>
        <w:t xml:space="preserve"> (3) </w:t>
      </w:r>
      <w:proofErr w:type="spellStart"/>
      <w:r w:rsidR="00EC37F3" w:rsidRPr="00190878">
        <w:rPr>
          <w:i/>
        </w:rPr>
        <w:t>Dispoziţiile</w:t>
      </w:r>
      <w:proofErr w:type="spellEnd"/>
      <w:r w:rsidR="00EC37F3" w:rsidRPr="00190878">
        <w:rPr>
          <w:i/>
        </w:rPr>
        <w:t xml:space="preserve"> </w:t>
      </w:r>
      <w:proofErr w:type="spellStart"/>
      <w:r w:rsidR="00EC37F3" w:rsidRPr="00190878">
        <w:rPr>
          <w:i/>
        </w:rPr>
        <w:t>alin</w:t>
      </w:r>
      <w:proofErr w:type="spellEnd"/>
      <w:r w:rsidR="00EC37F3" w:rsidRPr="00190878">
        <w:rPr>
          <w:i/>
        </w:rPr>
        <w:t xml:space="preserve">. (1) </w:t>
      </w:r>
      <w:proofErr w:type="spellStart"/>
      <w:proofErr w:type="gramStart"/>
      <w:r w:rsidR="00EC37F3" w:rsidRPr="00190878">
        <w:rPr>
          <w:i/>
        </w:rPr>
        <w:t>şi</w:t>
      </w:r>
      <w:proofErr w:type="spellEnd"/>
      <w:proofErr w:type="gramEnd"/>
      <w:r w:rsidR="00EC37F3" w:rsidRPr="00190878">
        <w:rPr>
          <w:i/>
        </w:rPr>
        <w:t xml:space="preserve"> (2) se </w:t>
      </w:r>
      <w:proofErr w:type="spellStart"/>
      <w:r w:rsidR="00EC37F3" w:rsidRPr="00190878">
        <w:rPr>
          <w:i/>
        </w:rPr>
        <w:t>aplică</w:t>
      </w:r>
      <w:proofErr w:type="spellEnd"/>
      <w:r w:rsidR="00EC37F3" w:rsidRPr="00190878">
        <w:rPr>
          <w:i/>
        </w:rPr>
        <w:t xml:space="preserve"> </w:t>
      </w:r>
      <w:proofErr w:type="spellStart"/>
      <w:r w:rsidR="00EC37F3" w:rsidRPr="00190878">
        <w:rPr>
          <w:i/>
        </w:rPr>
        <w:t>în</w:t>
      </w:r>
      <w:proofErr w:type="spellEnd"/>
      <w:r w:rsidR="00EC37F3" w:rsidRPr="00190878">
        <w:rPr>
          <w:i/>
        </w:rPr>
        <w:t xml:space="preserve"> mod </w:t>
      </w:r>
      <w:proofErr w:type="spellStart"/>
      <w:r w:rsidR="00EC37F3" w:rsidRPr="00190878">
        <w:rPr>
          <w:i/>
        </w:rPr>
        <w:t>corespunzător</w:t>
      </w:r>
      <w:proofErr w:type="spellEnd"/>
      <w:r w:rsidR="00EC37F3" w:rsidRPr="00190878">
        <w:rPr>
          <w:i/>
        </w:rPr>
        <w:t xml:space="preserve"> </w:t>
      </w:r>
      <w:proofErr w:type="spellStart"/>
      <w:r w:rsidR="00EC37F3" w:rsidRPr="00190878">
        <w:rPr>
          <w:i/>
        </w:rPr>
        <w:t>atunci</w:t>
      </w:r>
      <w:proofErr w:type="spellEnd"/>
      <w:r w:rsidR="00EC37F3" w:rsidRPr="00190878">
        <w:rPr>
          <w:i/>
        </w:rPr>
        <w:t xml:space="preserve"> </w:t>
      </w:r>
      <w:proofErr w:type="spellStart"/>
      <w:r w:rsidR="00EC37F3" w:rsidRPr="00190878">
        <w:rPr>
          <w:i/>
        </w:rPr>
        <w:t>când</w:t>
      </w:r>
      <w:proofErr w:type="spellEnd"/>
      <w:r w:rsidR="00EC37F3" w:rsidRPr="00190878">
        <w:rPr>
          <w:i/>
        </w:rPr>
        <w:t xml:space="preserve"> </w:t>
      </w:r>
      <w:proofErr w:type="spellStart"/>
      <w:r w:rsidR="00EC37F3" w:rsidRPr="00190878">
        <w:rPr>
          <w:i/>
        </w:rPr>
        <w:t>descendentul</w:t>
      </w:r>
      <w:proofErr w:type="spellEnd"/>
      <w:r w:rsidR="00EC37F3" w:rsidRPr="00190878">
        <w:rPr>
          <w:i/>
        </w:rPr>
        <w:t xml:space="preserve"> </w:t>
      </w:r>
      <w:proofErr w:type="spellStart"/>
      <w:r w:rsidR="00EC37F3" w:rsidRPr="00190878">
        <w:rPr>
          <w:i/>
        </w:rPr>
        <w:t>menţionat</w:t>
      </w:r>
      <w:proofErr w:type="spellEnd"/>
      <w:r w:rsidR="00EC37F3" w:rsidRPr="00190878">
        <w:rPr>
          <w:i/>
        </w:rPr>
        <w:t xml:space="preserve"> la </w:t>
      </w:r>
      <w:proofErr w:type="spellStart"/>
      <w:r w:rsidR="00EC37F3" w:rsidRPr="00190878">
        <w:rPr>
          <w:i/>
        </w:rPr>
        <w:t>alin</w:t>
      </w:r>
      <w:proofErr w:type="spellEnd"/>
      <w:r w:rsidR="00EC37F3" w:rsidRPr="00190878">
        <w:rPr>
          <w:i/>
        </w:rPr>
        <w:t xml:space="preserve">. (1) </w:t>
      </w:r>
      <w:proofErr w:type="gramStart"/>
      <w:r w:rsidR="00EC37F3" w:rsidRPr="00190878">
        <w:rPr>
          <w:i/>
        </w:rPr>
        <w:t>a</w:t>
      </w:r>
      <w:proofErr w:type="gramEnd"/>
      <w:r w:rsidR="00EC37F3" w:rsidRPr="00190878">
        <w:rPr>
          <w:i/>
        </w:rPr>
        <w:t xml:space="preserve"> </w:t>
      </w:r>
      <w:proofErr w:type="spellStart"/>
      <w:r w:rsidR="00EC37F3" w:rsidRPr="00190878">
        <w:rPr>
          <w:i/>
        </w:rPr>
        <w:t>fost</w:t>
      </w:r>
      <w:proofErr w:type="spellEnd"/>
      <w:r w:rsidR="00EC37F3" w:rsidRPr="00190878">
        <w:rPr>
          <w:i/>
        </w:rPr>
        <w:t xml:space="preserve"> </w:t>
      </w:r>
      <w:proofErr w:type="spellStart"/>
      <w:r w:rsidR="00EC37F3" w:rsidRPr="00190878">
        <w:rPr>
          <w:i/>
        </w:rPr>
        <w:t>dezmoştenit</w:t>
      </w:r>
      <w:proofErr w:type="spellEnd"/>
      <w:r w:rsidR="00EC37F3" w:rsidRPr="00190878">
        <w:rPr>
          <w:i/>
        </w:rPr>
        <w:t xml:space="preserve"> direct, </w:t>
      </w:r>
      <w:proofErr w:type="spellStart"/>
      <w:r w:rsidR="00EC37F3" w:rsidRPr="00190878">
        <w:rPr>
          <w:i/>
        </w:rPr>
        <w:t>iar</w:t>
      </w:r>
      <w:proofErr w:type="spellEnd"/>
      <w:r w:rsidR="00EC37F3">
        <w:rPr>
          <w:i/>
        </w:rPr>
        <w:t xml:space="preserve"> de</w:t>
      </w:r>
      <w:r w:rsidR="00EC37F3" w:rsidRPr="00190878">
        <w:rPr>
          <w:i/>
        </w:rPr>
        <w:t xml:space="preserve"> </w:t>
      </w:r>
      <w:proofErr w:type="spellStart"/>
      <w:r w:rsidR="00EC37F3" w:rsidRPr="00190878">
        <w:rPr>
          <w:i/>
        </w:rPr>
        <w:t>această</w:t>
      </w:r>
      <w:proofErr w:type="spellEnd"/>
      <w:r w:rsidR="00EC37F3" w:rsidRPr="00190878">
        <w:rPr>
          <w:i/>
        </w:rPr>
        <w:t xml:space="preserve"> </w:t>
      </w:r>
      <w:proofErr w:type="spellStart"/>
      <w:r w:rsidR="00EC37F3" w:rsidRPr="00190878">
        <w:rPr>
          <w:i/>
        </w:rPr>
        <w:t>dezmoştenire</w:t>
      </w:r>
      <w:proofErr w:type="spellEnd"/>
      <w:r w:rsidR="00EC37F3" w:rsidRPr="00190878">
        <w:rPr>
          <w:i/>
        </w:rPr>
        <w:t xml:space="preserve"> </w:t>
      </w:r>
      <w:proofErr w:type="spellStart"/>
      <w:r w:rsidR="00EC37F3" w:rsidRPr="00190878">
        <w:rPr>
          <w:i/>
        </w:rPr>
        <w:t>ar</w:t>
      </w:r>
      <w:proofErr w:type="spellEnd"/>
      <w:r w:rsidR="00EC37F3" w:rsidRPr="00190878">
        <w:rPr>
          <w:i/>
        </w:rPr>
        <w:t xml:space="preserve"> </w:t>
      </w:r>
      <w:proofErr w:type="spellStart"/>
      <w:r w:rsidR="00EC37F3" w:rsidRPr="00190878">
        <w:rPr>
          <w:i/>
        </w:rPr>
        <w:t>beneficia</w:t>
      </w:r>
      <w:proofErr w:type="spellEnd"/>
      <w:r w:rsidR="00EC37F3" w:rsidRPr="00190878">
        <w:rPr>
          <w:i/>
        </w:rPr>
        <w:t xml:space="preserve"> </w:t>
      </w:r>
      <w:proofErr w:type="spellStart"/>
      <w:r w:rsidR="00EC37F3" w:rsidRPr="00190878">
        <w:rPr>
          <w:i/>
        </w:rPr>
        <w:t>soţului</w:t>
      </w:r>
      <w:proofErr w:type="spellEnd"/>
      <w:r w:rsidR="00EC37F3" w:rsidRPr="00190878">
        <w:rPr>
          <w:i/>
        </w:rPr>
        <w:t xml:space="preserve"> </w:t>
      </w:r>
      <w:proofErr w:type="spellStart"/>
      <w:r w:rsidR="00EC37F3" w:rsidRPr="00190878">
        <w:rPr>
          <w:i/>
        </w:rPr>
        <w:t>supravieţuitor</w:t>
      </w:r>
      <w:proofErr w:type="spellEnd"/>
      <w:r w:rsidR="00EC37F3" w:rsidRPr="00190878">
        <w:rPr>
          <w:i/>
        </w:rPr>
        <w:t>.</w:t>
      </w:r>
      <w:r w:rsidR="007D0C08">
        <w:rPr>
          <w:lang w:val="ro-RO"/>
        </w:rPr>
        <w:t xml:space="preserve"> Rezultă aşadar că în cazul în care soţul supravieţuitor vine la moştenire în concurs cu copii ai defunctului dintr-o căsătorie anterioară, acesta nu poate beneficia de liberalităţile făcute de soţul decedat decât în limita unei cotităţi disponibile speciale, care poate fi mai mică sau cel mult egală cu cea ordinară, limita acestei cotităţi speciale fiind partea copilului care a luat cel mai puţin din moştenire, dar fără a putea depăşi valoric a patra parte din moştenire.</w:t>
      </w:r>
    </w:p>
    <w:p w:rsidR="004927A5" w:rsidRDefault="00704738" w:rsidP="004927A5">
      <w:pPr>
        <w:spacing w:line="360" w:lineRule="auto"/>
        <w:ind w:firstLine="720"/>
        <w:jc w:val="both"/>
        <w:rPr>
          <w:lang w:val="ro-RO"/>
        </w:rPr>
      </w:pPr>
      <w:r w:rsidRPr="004927A5">
        <w:rPr>
          <w:b/>
          <w:lang w:val="ro-RO"/>
        </w:rPr>
        <w:t xml:space="preserve">II - </w:t>
      </w:r>
      <w:r w:rsidRPr="004927A5">
        <w:rPr>
          <w:b/>
          <w:i/>
          <w:lang w:val="ro-RO"/>
        </w:rPr>
        <w:t>Secundum ponam casum</w:t>
      </w:r>
      <w:r>
        <w:rPr>
          <w:i/>
          <w:lang w:val="ro-RO"/>
        </w:rPr>
        <w:t xml:space="preserve">: </w:t>
      </w:r>
      <w:r w:rsidR="004927A5">
        <w:rPr>
          <w:lang w:val="ro-RO"/>
        </w:rPr>
        <w:t>Al doilea pas presupune identificarea legăturii imediate dintre abstracţiunea textului şi realitatea conflictuală juridică</w:t>
      </w:r>
      <w:r w:rsidR="004927A5">
        <w:t xml:space="preserve">. </w:t>
      </w:r>
      <w:proofErr w:type="spellStart"/>
      <w:r w:rsidR="007D0C08">
        <w:t>Reglementarea</w:t>
      </w:r>
      <w:proofErr w:type="spellEnd"/>
      <w:r w:rsidR="007D0C08">
        <w:t xml:space="preserve"> </w:t>
      </w:r>
      <w:proofErr w:type="spellStart"/>
      <w:r w:rsidR="007D0C08">
        <w:t>acestui</w:t>
      </w:r>
      <w:proofErr w:type="spellEnd"/>
      <w:r w:rsidR="007D0C08">
        <w:t xml:space="preserve"> </w:t>
      </w:r>
      <w:proofErr w:type="spellStart"/>
      <w:r w:rsidR="007D0C08">
        <w:t>articol</w:t>
      </w:r>
      <w:proofErr w:type="spellEnd"/>
      <w:r w:rsidR="007D0C08">
        <w:t xml:space="preserve"> </w:t>
      </w:r>
      <w:r w:rsidR="007D0C08">
        <w:rPr>
          <w:lang w:val="ro-RO"/>
        </w:rPr>
        <w:t>consacră opţiunea legiuitorului de a conferi o protecţie specială copiilor (descendenţilor) defunctului pe care i-a avut înainte de încheierea ultimei căsătorii, urmărind ocrotirea acestora împotriva influenţelor şi presiunilor pe care soţul din ultima căsătorie (mama sau tatăl vitreg) ar putea să le exercite asupra părintelui recăsătorit, determinându-l pe acesta din urmă să-i facă liber</w:t>
      </w:r>
      <w:r w:rsidR="009671C4">
        <w:rPr>
          <w:lang w:val="ro-RO"/>
        </w:rPr>
        <w:t>alităţi în detrimentul copiilor, sau chiar să dispună prin testament exheredarea acestor descendenţi, de care ar urma să beneficieze soţul din această ultimă căsătorie.</w:t>
      </w:r>
    </w:p>
    <w:p w:rsidR="00F7044D" w:rsidRDefault="00F7044D" w:rsidP="00FC4F87">
      <w:pPr>
        <w:spacing w:line="360" w:lineRule="auto"/>
        <w:jc w:val="both"/>
        <w:rPr>
          <w:lang w:val="ro-RO"/>
        </w:rPr>
      </w:pPr>
      <w:r>
        <w:rPr>
          <w:lang w:val="ro-RO"/>
        </w:rPr>
        <w:tab/>
      </w:r>
      <w:r w:rsidRPr="004927A5">
        <w:rPr>
          <w:b/>
          <w:lang w:val="ro-RO"/>
        </w:rPr>
        <w:t xml:space="preserve">III - </w:t>
      </w:r>
      <w:r w:rsidRPr="004927A5">
        <w:rPr>
          <w:b/>
          <w:i/>
          <w:lang w:val="ro-RO"/>
        </w:rPr>
        <w:t>Tertium historia regulae explorabo</w:t>
      </w:r>
      <w:r>
        <w:rPr>
          <w:i/>
          <w:lang w:val="ro-RO"/>
        </w:rPr>
        <w:t>:</w:t>
      </w:r>
      <w:r w:rsidR="004927A5" w:rsidRPr="004927A5">
        <w:rPr>
          <w:lang w:val="ro-RO"/>
        </w:rPr>
        <w:t xml:space="preserve"> </w:t>
      </w:r>
      <w:r w:rsidR="004927A5">
        <w:rPr>
          <w:lang w:val="ro-RO"/>
        </w:rPr>
        <w:t>O primă axă a analizei comparatiste, este cea verticală - pe scara istorică a evoluţiei regulei de drept.</w:t>
      </w:r>
      <w:r>
        <w:rPr>
          <w:i/>
          <w:lang w:val="ro-RO"/>
        </w:rPr>
        <w:t xml:space="preserve"> </w:t>
      </w:r>
      <w:r w:rsidR="00AC4E06">
        <w:rPr>
          <w:lang w:val="ro-RO"/>
        </w:rPr>
        <w:t xml:space="preserve">Reglementarea acestei instituţii îşi are originea </w:t>
      </w:r>
      <w:r w:rsidR="00AC4E06">
        <w:rPr>
          <w:lang w:val="ro-RO"/>
        </w:rPr>
        <w:lastRenderedPageBreak/>
        <w:t>în dreptul roman</w:t>
      </w:r>
      <w:r w:rsidR="003E430D">
        <w:rPr>
          <w:rStyle w:val="FootnoteReference"/>
          <w:lang w:val="ro-RO"/>
        </w:rPr>
        <w:footnoteReference w:id="2"/>
      </w:r>
      <w:r w:rsidR="00AC4E06">
        <w:rPr>
          <w:lang w:val="ro-RO"/>
        </w:rPr>
        <w:t xml:space="preserve">, </w:t>
      </w:r>
      <w:r w:rsidR="004671F0">
        <w:rPr>
          <w:lang w:val="ro-RO"/>
        </w:rPr>
        <w:t>un</w:t>
      </w:r>
      <w:r w:rsidR="007D1CD7">
        <w:rPr>
          <w:lang w:val="ro-RO"/>
        </w:rPr>
        <w:t>d</w:t>
      </w:r>
      <w:r w:rsidR="004671F0">
        <w:rPr>
          <w:lang w:val="ro-RO"/>
        </w:rPr>
        <w:t xml:space="preserve">e căsătoriile subsecvente erau privite de legiuitor în mod nefavorabil tocmai pentru că puteau produce consecinţe negative asupra copiilor dintr-o căsătorie anterioară. De aceea, romanii au stabilit că dacă soţul - care avea copii dintr-o căsătorie anterioară - se recăsătorea, nu putea să lase prin testament soţului din această nouă căsătorie decît cel mult echivalentul unei părţi ce se cuvenea unui copil născut din prima căsătorie. Tot astfel, </w:t>
      </w:r>
      <w:r w:rsidR="0041113D">
        <w:rPr>
          <w:lang w:val="ro-RO"/>
        </w:rPr>
        <w:t>bărbatul sau femeia care se căsătoreau pierdeau, în favoarea copiilor dintr-o căsătorie anterioară, nuda proprietate asupra bunurilor primite cu orice titlu de la soţul decedat şi, în plus, copiii aveau şi o ipotecă legală asupra bunurilor părintelui căsătorit de</w:t>
      </w:r>
      <w:r w:rsidR="007D1CD7">
        <w:rPr>
          <w:lang w:val="ro-RO"/>
        </w:rPr>
        <w:t>-</w:t>
      </w:r>
      <w:r w:rsidR="0041113D">
        <w:rPr>
          <w:lang w:val="ro-RO"/>
        </w:rPr>
        <w:t>al doilea. Mai mult decât atât, a fost rest</w:t>
      </w:r>
      <w:r w:rsidR="007D1CD7">
        <w:rPr>
          <w:lang w:val="ro-RO"/>
        </w:rPr>
        <w:t>r</w:t>
      </w:r>
      <w:r w:rsidR="0041113D">
        <w:rPr>
          <w:lang w:val="ro-RO"/>
        </w:rPr>
        <w:t>ân</w:t>
      </w:r>
      <w:r w:rsidR="007D1CD7">
        <w:rPr>
          <w:lang w:val="ro-RO"/>
        </w:rPr>
        <w:t>s</w:t>
      </w:r>
      <w:r w:rsidR="0041113D">
        <w:rPr>
          <w:lang w:val="ro-RO"/>
        </w:rPr>
        <w:t xml:space="preserve"> şi dreptul de moştenire pe care mama căsătorită de-al doilea îl avea asupra averii lăsate de copiii</w:t>
      </w:r>
      <w:r w:rsidR="007D1CD7">
        <w:rPr>
          <w:lang w:val="ro-RO"/>
        </w:rPr>
        <w:t xml:space="preserve"> născuţi din prima căsătorie, întrucât ea nu moştenea decât uzufructul părţii ce i s-ar fi cuvenit, nuda proprietate cuvenindu-se fraţilor şi surorilor copilului decedat</w:t>
      </w:r>
      <w:r w:rsidR="0063139F">
        <w:rPr>
          <w:rStyle w:val="FootnoteReference"/>
          <w:lang w:val="ro-RO"/>
        </w:rPr>
        <w:footnoteReference w:id="3"/>
      </w:r>
      <w:r w:rsidR="007D1CD7">
        <w:rPr>
          <w:lang w:val="ro-RO"/>
        </w:rPr>
        <w:t>. Această instituţie a fost</w:t>
      </w:r>
      <w:r w:rsidR="00AC4E06">
        <w:rPr>
          <w:lang w:val="ro-RO"/>
        </w:rPr>
        <w:t xml:space="preserve"> preluată apoi de vechiul drept francez şi reglementată în anul 1558 prin edictul cancelarului Michel de l</w:t>
      </w:r>
      <w:r w:rsidR="00AC4E06">
        <w:t>’</w:t>
      </w:r>
      <w:r w:rsidR="00AC4E06">
        <w:rPr>
          <w:lang w:val="ro-RO"/>
        </w:rPr>
        <w:t>Hôpital</w:t>
      </w:r>
      <w:r w:rsidR="00AC4E06">
        <w:rPr>
          <w:rStyle w:val="FootnoteReference"/>
          <w:lang w:val="ro-RO"/>
        </w:rPr>
        <w:footnoteReference w:id="4"/>
      </w:r>
      <w:r w:rsidR="00B72372">
        <w:rPr>
          <w:lang w:val="ro-RO"/>
        </w:rPr>
        <w:t xml:space="preserve">. </w:t>
      </w:r>
      <w:r w:rsidR="001428B1">
        <w:rPr>
          <w:lang w:val="ro-RO"/>
        </w:rPr>
        <w:t>Acest act normativ împiedica liberalităţile exagerate făcute în favoarea soţului din căsătoria subsecventă şi în defavoarea copiilor dintr-o căsătorie anterioară a defunctului.</w:t>
      </w:r>
    </w:p>
    <w:p w:rsidR="00054D6F" w:rsidRDefault="008D16E9" w:rsidP="00054D6F">
      <w:pPr>
        <w:spacing w:after="0" w:line="360" w:lineRule="auto"/>
        <w:ind w:firstLine="720"/>
        <w:jc w:val="both"/>
        <w:rPr>
          <w:lang w:val="ro-RO"/>
        </w:rPr>
      </w:pPr>
      <w:r w:rsidRPr="004927A5">
        <w:rPr>
          <w:b/>
          <w:lang w:val="ro-RO"/>
        </w:rPr>
        <w:t xml:space="preserve">IV - </w:t>
      </w:r>
      <w:r w:rsidRPr="004927A5">
        <w:rPr>
          <w:b/>
          <w:i/>
          <w:lang w:val="ro-RO"/>
        </w:rPr>
        <w:t>Quartum comparabo</w:t>
      </w:r>
      <w:r>
        <w:rPr>
          <w:lang w:val="ro-RO"/>
        </w:rPr>
        <w:t xml:space="preserve">: </w:t>
      </w:r>
      <w:r w:rsidR="004927A5">
        <w:rPr>
          <w:lang w:val="ro-RO"/>
        </w:rPr>
        <w:t xml:space="preserve">Pe axa orizontală, voi cuprinde referinţe la texte similare din alte coduri civile. </w:t>
      </w:r>
      <w:r w:rsidR="00B72372">
        <w:rPr>
          <w:lang w:val="ro-RO"/>
        </w:rPr>
        <w:t>Dispoziţia legală cuprinsă în acest edict a devenit, cu unele modificări nesemnificative, art. 1</w:t>
      </w:r>
      <w:r w:rsidR="00750596">
        <w:rPr>
          <w:lang w:val="ro-RO"/>
        </w:rPr>
        <w:t>.</w:t>
      </w:r>
      <w:r w:rsidR="00054D6F">
        <w:rPr>
          <w:lang w:val="ro-RO"/>
        </w:rPr>
        <w:t xml:space="preserve">098 din Codul civil francez: </w:t>
      </w:r>
    </w:p>
    <w:p w:rsidR="00054D6F" w:rsidRPr="00054D6F" w:rsidRDefault="00054D6F" w:rsidP="004927A5">
      <w:pPr>
        <w:spacing w:after="0" w:line="360" w:lineRule="auto"/>
        <w:ind w:firstLine="720"/>
        <w:jc w:val="both"/>
        <w:rPr>
          <w:i/>
          <w:lang w:val="ro-RO"/>
        </w:rPr>
      </w:pPr>
      <w:r w:rsidRPr="00054D6F">
        <w:rPr>
          <w:i/>
          <w:lang w:val="ro-RO"/>
        </w:rPr>
        <w:t>Si un époux remarié a fait à son second conjoint, dans les limites de l'article 1094-1, une libéralité en propriété, chacun des enfants du premier lit aura, en ce qui le concerne, sauf volonté contraire et non équivoque du disposant, la faculté de substituer à l'exécution de cette libéralité l'abandon de l'usufruit de la part de succession qu'il eût recueillie en l'absence de conjoint survivant</w:t>
      </w:r>
      <w:r w:rsidR="004927A5">
        <w:rPr>
          <w:rStyle w:val="FootnoteReference"/>
          <w:i/>
          <w:lang w:val="ro-RO"/>
        </w:rPr>
        <w:footnoteReference w:id="5"/>
      </w:r>
      <w:r w:rsidRPr="00054D6F">
        <w:rPr>
          <w:i/>
          <w:lang w:val="ro-RO"/>
        </w:rPr>
        <w:t>.</w:t>
      </w:r>
    </w:p>
    <w:p w:rsidR="00230EF2" w:rsidRDefault="00054D6F" w:rsidP="00054D6F">
      <w:pPr>
        <w:spacing w:line="360" w:lineRule="auto"/>
        <w:ind w:firstLine="720"/>
        <w:jc w:val="both"/>
        <w:rPr>
          <w:i/>
          <w:lang w:val="ro-RO"/>
        </w:rPr>
      </w:pPr>
      <w:r w:rsidRPr="00054D6F">
        <w:rPr>
          <w:i/>
          <w:lang w:val="ro-RO"/>
        </w:rPr>
        <w:t>Ceux qui auront exercé cette faculté pourront exiger que soient appliquées les dispositions de l'article 1094-3</w:t>
      </w:r>
      <w:r>
        <w:rPr>
          <w:rStyle w:val="FootnoteReference"/>
          <w:i/>
          <w:lang w:val="ro-RO"/>
        </w:rPr>
        <w:footnoteReference w:id="6"/>
      </w:r>
      <w:r w:rsidRPr="00054D6F">
        <w:rPr>
          <w:lang w:val="ro-RO"/>
        </w:rPr>
        <w:t>.</w:t>
      </w:r>
      <w:r w:rsidR="00770771">
        <w:rPr>
          <w:lang w:val="ro-RO"/>
        </w:rPr>
        <w:t>U</w:t>
      </w:r>
      <w:r w:rsidR="00B72372">
        <w:rPr>
          <w:lang w:val="ro-RO"/>
        </w:rPr>
        <w:t>lterior, a fost împumutat şi de legiuitorul român, născându-se astfel art. 939 din Codul civil de la 1864</w:t>
      </w:r>
      <w:r w:rsidR="00B72372">
        <w:rPr>
          <w:rStyle w:val="FootnoteReference"/>
          <w:lang w:val="ro-RO"/>
        </w:rPr>
        <w:footnoteReference w:id="7"/>
      </w:r>
      <w:r w:rsidR="00770771">
        <w:rPr>
          <w:lang w:val="ro-RO"/>
        </w:rPr>
        <w:t xml:space="preserve"> care avea următorul conţinut: </w:t>
      </w:r>
      <w:r w:rsidR="00EA4812" w:rsidRPr="00EA4812">
        <w:rPr>
          <w:i/>
          <w:lang w:val="ro-RO"/>
        </w:rPr>
        <w:t xml:space="preserve">Bărbatul sau femeia care, având copii dintr-un </w:t>
      </w:r>
      <w:r w:rsidR="00EA4812" w:rsidRPr="00EA4812">
        <w:rPr>
          <w:i/>
          <w:lang w:val="ro-RO"/>
        </w:rPr>
        <w:lastRenderedPageBreak/>
        <w:t xml:space="preserve">alt maritigiu, va trece în al doilea sau subsecvent maritigiu, nu va putea </w:t>
      </w:r>
      <w:r w:rsidR="00EA4812">
        <w:rPr>
          <w:i/>
          <w:lang w:val="ro-RO"/>
        </w:rPr>
        <w:t>d</w:t>
      </w:r>
      <w:r w:rsidR="00EA4812" w:rsidRPr="00EA4812">
        <w:rPr>
          <w:i/>
          <w:lang w:val="ro-RO"/>
        </w:rPr>
        <w:t>ărui soţului din urmă decât o parte egală cu partea legitimă a copilului ce a luat mai puţin şi fără ca, nici într-un caz, donaţiunea să treacă peste cuartul bunurilor.</w:t>
      </w:r>
    </w:p>
    <w:p w:rsidR="00B71C1A" w:rsidRPr="005A606A" w:rsidRDefault="004A7467" w:rsidP="005A606A">
      <w:pPr>
        <w:spacing w:line="360" w:lineRule="auto"/>
        <w:ind w:firstLine="720"/>
        <w:jc w:val="both"/>
        <w:rPr>
          <w:lang w:val="ro-RO"/>
        </w:rPr>
      </w:pPr>
      <w:r w:rsidRPr="004927A5">
        <w:rPr>
          <w:b/>
          <w:lang w:val="ro-RO"/>
        </w:rPr>
        <w:t xml:space="preserve">V - </w:t>
      </w:r>
      <w:r w:rsidR="00833871" w:rsidRPr="004927A5">
        <w:rPr>
          <w:b/>
          <w:i/>
          <w:lang w:val="ro-RO"/>
        </w:rPr>
        <w:t>Quintum colligam</w:t>
      </w:r>
      <w:r w:rsidR="005A606A">
        <w:rPr>
          <w:lang w:val="ro-RO"/>
        </w:rPr>
        <w:t>: exegeza textului impune lămurirea unor noţiuni folosite în redactarea art. 1. 090 C.civ., dar şi stabilirea modului în care operează instituţia susupă analizei, aşadar:</w:t>
      </w:r>
    </w:p>
    <w:p w:rsidR="001E3979" w:rsidRDefault="001E3979" w:rsidP="00FC4F87">
      <w:pPr>
        <w:pStyle w:val="ListParagraph"/>
        <w:numPr>
          <w:ilvl w:val="0"/>
          <w:numId w:val="1"/>
        </w:numPr>
        <w:spacing w:after="0" w:line="360" w:lineRule="auto"/>
        <w:jc w:val="both"/>
        <w:rPr>
          <w:lang w:val="ro-RO"/>
        </w:rPr>
      </w:pPr>
      <w:r>
        <w:rPr>
          <w:lang w:val="ro-RO"/>
        </w:rPr>
        <w:t xml:space="preserve">Noţiunea de </w:t>
      </w:r>
      <w:r w:rsidRPr="001E3979">
        <w:rPr>
          <w:i/>
          <w:lang w:val="ro-RO"/>
        </w:rPr>
        <w:t>alţi descendenţi decât cei comuni lor</w:t>
      </w:r>
      <w:r>
        <w:rPr>
          <w:lang w:val="ro-RO"/>
        </w:rPr>
        <w:t xml:space="preserve"> în sensul art. 1.090 C.civ.</w:t>
      </w:r>
    </w:p>
    <w:p w:rsidR="00FC4F87" w:rsidRDefault="00B829BD" w:rsidP="00FC4F87">
      <w:pPr>
        <w:tabs>
          <w:tab w:val="left" w:pos="0"/>
        </w:tabs>
        <w:spacing w:after="0" w:line="360" w:lineRule="auto"/>
        <w:ind w:firstLine="720"/>
        <w:jc w:val="both"/>
        <w:rPr>
          <w:lang w:val="ro-RO"/>
        </w:rPr>
      </w:pPr>
      <w:r>
        <w:rPr>
          <w:lang w:val="ro-RO"/>
        </w:rPr>
        <w:t>Textul se referă atât la copii dintr-o căsătorie</w:t>
      </w:r>
      <w:r>
        <w:rPr>
          <w:rStyle w:val="FootnoteReference"/>
          <w:lang w:val="ro-RO"/>
        </w:rPr>
        <w:footnoteReference w:id="8"/>
      </w:r>
      <w:r>
        <w:rPr>
          <w:lang w:val="ro-RO"/>
        </w:rPr>
        <w:t xml:space="preserve"> anterioară a defunctului, cât şi la cei din afara căsătoriei, precum şi la copii adoptaţi de către defunct, cu condiţia ca data concepţiei (nu neapărat naşterea) copilului din afara căsătoriei (indiferent de momentul stabilirii filiaţiei), respectiv data actului de încuviinţare a adopţiei să fie anterioară încheierii ultimei căsătorii de către defunct</w:t>
      </w:r>
      <w:r>
        <w:rPr>
          <w:rStyle w:val="FootnoteReference"/>
          <w:lang w:val="ro-RO"/>
        </w:rPr>
        <w:footnoteReference w:id="9"/>
      </w:r>
      <w:r>
        <w:rPr>
          <w:lang w:val="ro-RO"/>
        </w:rPr>
        <w:t>.</w:t>
      </w:r>
      <w:r w:rsidR="00FC4F87">
        <w:rPr>
          <w:lang w:val="ro-RO"/>
        </w:rPr>
        <w:t xml:space="preserve"> De asemenea, descendenţii care intră sub incidenţa acestui articol nu sunt doar cei de gradul I, ci şi cei din grade subsecvente, indiferent că aceştia din urmă vin la moştenire în nume propriu sau prin reprezentare.</w:t>
      </w:r>
    </w:p>
    <w:p w:rsidR="00FC4F87" w:rsidRDefault="00FC4F87" w:rsidP="00FC4F87">
      <w:pPr>
        <w:tabs>
          <w:tab w:val="left" w:pos="0"/>
        </w:tabs>
        <w:spacing w:after="0" w:line="360" w:lineRule="auto"/>
        <w:ind w:firstLine="720"/>
        <w:jc w:val="both"/>
        <w:rPr>
          <w:lang w:val="ro-RO"/>
        </w:rPr>
      </w:pPr>
      <w:r>
        <w:rPr>
          <w:lang w:val="ro-RO"/>
        </w:rPr>
        <w:t xml:space="preserve">Se admite şi soluţia potrivit căreia de dispoziţiile art. 1.090 C.civ. </w:t>
      </w:r>
      <w:r w:rsidR="00333EF8">
        <w:rPr>
          <w:lang w:val="ro-RO"/>
        </w:rPr>
        <w:t xml:space="preserve">pot beneficia în mod </w:t>
      </w:r>
      <w:r w:rsidR="00333EF8" w:rsidRPr="00333EF8">
        <w:rPr>
          <w:i/>
          <w:lang w:val="ro-RO"/>
        </w:rPr>
        <w:t>indirect</w:t>
      </w:r>
      <w:r w:rsidR="00333EF8">
        <w:rPr>
          <w:i/>
          <w:lang w:val="ro-RO"/>
        </w:rPr>
        <w:t xml:space="preserve">, </w:t>
      </w:r>
      <w:r w:rsidR="00333EF8">
        <w:rPr>
          <w:lang w:val="ro-RO"/>
        </w:rPr>
        <w:t>şi copii defunctului</w:t>
      </w:r>
      <w:r w:rsidR="00B71C1A">
        <w:rPr>
          <w:lang w:val="ro-RO"/>
        </w:rPr>
        <w:t xml:space="preserve"> din căsătoria subsecventă, însă</w:t>
      </w:r>
      <w:r w:rsidR="00333EF8">
        <w:rPr>
          <w:lang w:val="ro-RO"/>
        </w:rPr>
        <w:t xml:space="preserve"> numai în acele situaţii în care există cel puţin un copil dintr-o căsătorie anterioară (din afara căsătoriei ori din adopţie)</w:t>
      </w:r>
      <w:r w:rsidR="00333EF8">
        <w:rPr>
          <w:rStyle w:val="FootnoteReference"/>
          <w:lang w:val="ro-RO"/>
        </w:rPr>
        <w:footnoteReference w:id="10"/>
      </w:r>
      <w:r w:rsidR="00333EF8">
        <w:rPr>
          <w:lang w:val="ro-RO"/>
        </w:rPr>
        <w:t>.</w:t>
      </w:r>
      <w:r w:rsidR="00212701">
        <w:rPr>
          <w:lang w:val="ro-RO"/>
        </w:rPr>
        <w:t xml:space="preserve"> Descendentul, în toate situaţiile, trebuie să îndeplinească condiţiile dreptului de moştenire legală (să aibă capacitate şi vocaţie succesorală, să nu fie nedemn) şi să nu fie renunţător, aşadar să poată şi să vrea să vină efectiv la moştenirea ascendentului decedat.</w:t>
      </w:r>
    </w:p>
    <w:p w:rsidR="00B71C1A" w:rsidRDefault="00B71C1A" w:rsidP="00FC4F87">
      <w:pPr>
        <w:tabs>
          <w:tab w:val="left" w:pos="0"/>
        </w:tabs>
        <w:spacing w:after="0" w:line="360" w:lineRule="auto"/>
        <w:ind w:firstLine="720"/>
        <w:jc w:val="both"/>
        <w:rPr>
          <w:lang w:val="ro-RO"/>
        </w:rPr>
      </w:pPr>
    </w:p>
    <w:p w:rsidR="00F23C05" w:rsidRDefault="00F23C05" w:rsidP="00F23C05">
      <w:pPr>
        <w:pStyle w:val="ListParagraph"/>
        <w:numPr>
          <w:ilvl w:val="0"/>
          <w:numId w:val="1"/>
        </w:numPr>
        <w:tabs>
          <w:tab w:val="left" w:pos="0"/>
        </w:tabs>
        <w:spacing w:after="0" w:line="360" w:lineRule="auto"/>
        <w:jc w:val="both"/>
        <w:rPr>
          <w:i/>
          <w:lang w:val="ro-RO"/>
        </w:rPr>
      </w:pPr>
      <w:r w:rsidRPr="00F23C05">
        <w:rPr>
          <w:i/>
          <w:lang w:val="ro-RO"/>
        </w:rPr>
        <w:t>Liberalităţile care intră sub incidenţa dispoziţiilor art. 1.090 C.civ.</w:t>
      </w:r>
    </w:p>
    <w:p w:rsidR="00F23C05" w:rsidRDefault="009C61E0" w:rsidP="009C61E0">
      <w:pPr>
        <w:pStyle w:val="ListParagraph"/>
        <w:tabs>
          <w:tab w:val="left" w:pos="0"/>
        </w:tabs>
        <w:spacing w:after="0" w:line="360" w:lineRule="auto"/>
        <w:ind w:left="0" w:firstLine="720"/>
        <w:jc w:val="both"/>
        <w:rPr>
          <w:lang w:val="ro-RO"/>
        </w:rPr>
      </w:pPr>
      <w:r>
        <w:rPr>
          <w:lang w:val="ro-RO"/>
        </w:rPr>
        <w:t xml:space="preserve">Alin. (1) utilizează noţiunea de </w:t>
      </w:r>
      <w:r w:rsidRPr="009C61E0">
        <w:rPr>
          <w:i/>
          <w:lang w:val="ro-RO"/>
        </w:rPr>
        <w:t>libertăţi neraportabile</w:t>
      </w:r>
      <w:r>
        <w:rPr>
          <w:i/>
          <w:lang w:val="ro-RO"/>
        </w:rPr>
        <w:t xml:space="preserve"> </w:t>
      </w:r>
      <w:r>
        <w:rPr>
          <w:lang w:val="ro-RO"/>
        </w:rPr>
        <w:t>pentru a defini cotitatea disponibilă specială ca acea parte a moştenirii, care nu se confundă cu cotitatea disponibilă ordinară, dar se cumulează cu cota de rezervă care îi revine soţului surpavieţuitor. Este vorba astfel, de donaţiile definitive (preciputare)</w:t>
      </w:r>
      <w:r>
        <w:rPr>
          <w:rStyle w:val="FootnoteReference"/>
          <w:lang w:val="ro-RO"/>
        </w:rPr>
        <w:footnoteReference w:id="11"/>
      </w:r>
      <w:r w:rsidR="004F637A">
        <w:rPr>
          <w:lang w:val="ro-RO"/>
        </w:rPr>
        <w:t xml:space="preserve"> şi de legatele care depăşesc rezerva atribuită soţului supravieţuitor. </w:t>
      </w:r>
    </w:p>
    <w:p w:rsidR="004F637A" w:rsidRDefault="004F637A" w:rsidP="009C61E0">
      <w:pPr>
        <w:pStyle w:val="ListParagraph"/>
        <w:tabs>
          <w:tab w:val="left" w:pos="0"/>
        </w:tabs>
        <w:spacing w:after="0" w:line="360" w:lineRule="auto"/>
        <w:ind w:left="0" w:firstLine="720"/>
        <w:jc w:val="both"/>
        <w:rPr>
          <w:lang w:val="ro-RO"/>
        </w:rPr>
      </w:pPr>
      <w:r>
        <w:rPr>
          <w:lang w:val="ro-RO"/>
        </w:rPr>
        <w:lastRenderedPageBreak/>
        <w:t>Prin urmare, în primul caz, dacă defunctul a făcut în favoartea soţului supravieţuitor donaţii în timpul ultimei căsătorii sau chiar anterior căsătoriei, dacă se dovedeşte</w:t>
      </w:r>
      <w:r w:rsidR="006477B3">
        <w:rPr>
          <w:rStyle w:val="FootnoteReference"/>
          <w:lang w:val="ro-RO"/>
        </w:rPr>
        <w:footnoteReference w:id="12"/>
      </w:r>
      <w:r>
        <w:rPr>
          <w:lang w:val="ro-RO"/>
        </w:rPr>
        <w:t xml:space="preserve"> că perspectiva acestei căsătorii a fost cauza impulsivă şi determinantă a liberalităţii, va fi necesară efectuarea controlului limitelor de valoare acc</w:t>
      </w:r>
      <w:r w:rsidR="00253866">
        <w:rPr>
          <w:lang w:val="ro-RO"/>
        </w:rPr>
        <w:t>eptată, impusă de art. 1.090 C.</w:t>
      </w:r>
      <w:r>
        <w:rPr>
          <w:lang w:val="ro-RO"/>
        </w:rPr>
        <w:t>civ. dacă sunt îndeplinite şi celelalte condiţii ale textului legal</w:t>
      </w:r>
      <w:r w:rsidR="006477B3">
        <w:rPr>
          <w:rStyle w:val="FootnoteReference"/>
          <w:lang w:val="ro-RO"/>
        </w:rPr>
        <w:footnoteReference w:id="13"/>
      </w:r>
      <w:r>
        <w:rPr>
          <w:lang w:val="ro-RO"/>
        </w:rPr>
        <w:t>.</w:t>
      </w:r>
      <w:r w:rsidR="006477B3">
        <w:rPr>
          <w:lang w:val="ro-RO"/>
        </w:rPr>
        <w:t xml:space="preserve"> Dacă, însă, prin </w:t>
      </w:r>
      <w:r w:rsidR="00BD3D06">
        <w:rPr>
          <w:lang w:val="ro-RO"/>
        </w:rPr>
        <w:t>testamentul făcut în favoarea soţului supravieţu</w:t>
      </w:r>
      <w:r w:rsidR="00B71C1A">
        <w:rPr>
          <w:lang w:val="ro-RO"/>
        </w:rPr>
        <w:t>i</w:t>
      </w:r>
      <w:r w:rsidR="00BD3D06">
        <w:rPr>
          <w:lang w:val="ro-RO"/>
        </w:rPr>
        <w:t>tor, defunctul a lăsat legate, textul îşi găseşte aplicabilitatea, chiar dacă data testamentului este anterioară încheierii ultimei căsătorii, deoarece se poate presupune menţinerea dispoziţiile testamentare favorabile sub influenţa soţului din această căsătorie</w:t>
      </w:r>
      <w:r w:rsidR="00BD3D06">
        <w:rPr>
          <w:rStyle w:val="FootnoteReference"/>
          <w:lang w:val="ro-RO"/>
        </w:rPr>
        <w:footnoteReference w:id="14"/>
      </w:r>
      <w:r w:rsidR="00BD3D06">
        <w:rPr>
          <w:lang w:val="ro-RO"/>
        </w:rPr>
        <w:t>.</w:t>
      </w:r>
    </w:p>
    <w:p w:rsidR="006477B3" w:rsidRDefault="0041475F" w:rsidP="009C61E0">
      <w:pPr>
        <w:pStyle w:val="ListParagraph"/>
        <w:tabs>
          <w:tab w:val="left" w:pos="0"/>
        </w:tabs>
        <w:spacing w:after="0" w:line="360" w:lineRule="auto"/>
        <w:ind w:left="0" w:firstLine="720"/>
        <w:jc w:val="both"/>
        <w:rPr>
          <w:lang w:val="ro-RO"/>
        </w:rPr>
      </w:pPr>
      <w:r>
        <w:rPr>
          <w:lang w:val="ro-RO"/>
        </w:rPr>
        <w:t>Soţul supravieţuitor poate fi avantajat şi în mod indirect, prin exheredarea descendenţilor sau doar a unora dintre ei, în această ipoteză soţul supravieţuitor culege cotitatea disponibilă nu ca legatar, ci în calitate de moştenitor legal. Această dezmoştenire va produce efecte numai în limita cotităţii disponibile, şi anume în limita cotităţii disponibile speciale dacă sunt îndeplinite condiţiile art. 1.090 C.civ., deşi nu este vorba despre un legat sau de o donaţie.</w:t>
      </w:r>
    </w:p>
    <w:p w:rsidR="00B71C1A" w:rsidRPr="009C61E0" w:rsidRDefault="00B71C1A" w:rsidP="009C61E0">
      <w:pPr>
        <w:pStyle w:val="ListParagraph"/>
        <w:tabs>
          <w:tab w:val="left" w:pos="0"/>
        </w:tabs>
        <w:spacing w:after="0" w:line="360" w:lineRule="auto"/>
        <w:ind w:left="0" w:firstLine="720"/>
        <w:jc w:val="both"/>
        <w:rPr>
          <w:lang w:val="ro-RO"/>
        </w:rPr>
      </w:pPr>
    </w:p>
    <w:p w:rsidR="00F23C05" w:rsidRDefault="003A2AB5" w:rsidP="003A2AB5">
      <w:pPr>
        <w:pStyle w:val="ListParagraph"/>
        <w:numPr>
          <w:ilvl w:val="0"/>
          <w:numId w:val="1"/>
        </w:numPr>
        <w:tabs>
          <w:tab w:val="left" w:pos="0"/>
        </w:tabs>
        <w:spacing w:after="0" w:line="360" w:lineRule="auto"/>
        <w:ind w:left="0" w:firstLine="360"/>
        <w:jc w:val="both"/>
        <w:rPr>
          <w:i/>
          <w:lang w:val="ro-RO"/>
        </w:rPr>
      </w:pPr>
      <w:r>
        <w:rPr>
          <w:i/>
          <w:lang w:val="ro-RO"/>
        </w:rPr>
        <w:t>Determinarea cuantumulu</w:t>
      </w:r>
      <w:r w:rsidR="00403A63">
        <w:rPr>
          <w:i/>
          <w:lang w:val="ro-RO"/>
        </w:rPr>
        <w:t>i cotităţii disponibile</w:t>
      </w:r>
      <w:r>
        <w:rPr>
          <w:i/>
          <w:lang w:val="ro-RO"/>
        </w:rPr>
        <w:t xml:space="preserve"> ordinare şi a cotităţii disponibile speciale</w:t>
      </w:r>
      <w:r w:rsidR="00E417B5">
        <w:rPr>
          <w:i/>
          <w:lang w:val="ro-RO"/>
        </w:rPr>
        <w:t>. Regimul juridic al diferenţei dintre cotităţi</w:t>
      </w:r>
    </w:p>
    <w:p w:rsidR="006D614C" w:rsidRDefault="006D614C" w:rsidP="006D614C">
      <w:pPr>
        <w:tabs>
          <w:tab w:val="left" w:pos="0"/>
        </w:tabs>
        <w:spacing w:after="0" w:line="360" w:lineRule="auto"/>
        <w:jc w:val="both"/>
        <w:rPr>
          <w:lang w:val="ro-RO"/>
        </w:rPr>
      </w:pPr>
      <w:r>
        <w:rPr>
          <w:i/>
          <w:lang w:val="ro-RO"/>
        </w:rPr>
        <w:tab/>
      </w:r>
      <w:r>
        <w:rPr>
          <w:lang w:val="ro-RO"/>
        </w:rPr>
        <w:t xml:space="preserve">În privinţa modului de imputare a cotităţii disponibile speciale, s-a admis faptul că aceasta se va deduce din cotitatea disponibilă ordinară, nefiind posibilă cumularea acestor cotităţi, deoarece astfel s-ar fi adus atingere </w:t>
      </w:r>
      <w:r w:rsidR="00747AC2">
        <w:rPr>
          <w:lang w:val="ro-RO"/>
        </w:rPr>
        <w:t>rezervei cuvenite descendenţilor defunctului. În doctrină şi jurisprudenţă există concepţii diferite cu privire la partea din moştenire asupra căreia se impută rezerva soţului supravieţuitor, considerându-se fie că aceasta se impută asupra cotităţii disponibile ordinare, fie asupra întregii moşteniri. Aşadar, o parte a literaturii de specialitate</w:t>
      </w:r>
      <w:r w:rsidR="00747AC2">
        <w:rPr>
          <w:rStyle w:val="FootnoteReference"/>
          <w:lang w:val="ro-RO"/>
        </w:rPr>
        <w:footnoteReference w:id="15"/>
      </w:r>
      <w:r w:rsidR="009F0889">
        <w:rPr>
          <w:lang w:val="ro-RO"/>
        </w:rPr>
        <w:t xml:space="preserve"> consideră că rezerva soţului se va imputa asupra cotităţii disponibile, deoarece </w:t>
      </w:r>
      <w:r w:rsidR="009F0889" w:rsidRPr="009F0889">
        <w:rPr>
          <w:i/>
          <w:lang w:val="ro-RO"/>
        </w:rPr>
        <w:t>nu există niciun motiv care să ne facă să credem că legiuitorul, prin acordarea unei rezer</w:t>
      </w:r>
      <w:r w:rsidR="00B71C1A">
        <w:rPr>
          <w:i/>
          <w:lang w:val="ro-RO"/>
        </w:rPr>
        <w:t>ve soţului supravieţuitor, a înţ</w:t>
      </w:r>
      <w:r w:rsidR="009F0889" w:rsidRPr="009F0889">
        <w:rPr>
          <w:i/>
          <w:lang w:val="ro-RO"/>
        </w:rPr>
        <w:t>eles să micşoreze rezerva descendenţilor sau a părinţilor.</w:t>
      </w:r>
      <w:r w:rsidR="009F0889">
        <w:rPr>
          <w:lang w:val="ro-RO"/>
        </w:rPr>
        <w:t xml:space="preserve"> În această concepţie, modul de calcul ar fi următorul: se deduce mai întâi rezerva descendenţilor, calculată asupra întregii moşteniri, iar din ceea ce rămâne se deduce rezerva soţului supravieţuitor, restul reprezentând cotitatea disponibilă ordinară a moştenirii şi din aceasta se va deduce </w:t>
      </w:r>
      <w:r w:rsidR="009F0889">
        <w:rPr>
          <w:lang w:val="ro-RO"/>
        </w:rPr>
        <w:lastRenderedPageBreak/>
        <w:t>cotitatea disponibilă specială</w:t>
      </w:r>
      <w:r w:rsidR="009F0889">
        <w:rPr>
          <w:rStyle w:val="FootnoteReference"/>
          <w:lang w:val="ro-RO"/>
        </w:rPr>
        <w:footnoteReference w:id="16"/>
      </w:r>
      <w:r w:rsidR="009F0889">
        <w:rPr>
          <w:lang w:val="ro-RO"/>
        </w:rPr>
        <w:t xml:space="preserve">. </w:t>
      </w:r>
      <w:r w:rsidR="00C147FD">
        <w:rPr>
          <w:lang w:val="ro-RO"/>
        </w:rPr>
        <w:t>Într-o</w:t>
      </w:r>
      <w:r w:rsidR="009F0889">
        <w:rPr>
          <w:lang w:val="ro-RO"/>
        </w:rPr>
        <w:t xml:space="preserve"> altă concepţie, îmbrăţişată de </w:t>
      </w:r>
      <w:r w:rsidR="00403A63">
        <w:rPr>
          <w:lang w:val="ro-RO"/>
        </w:rPr>
        <w:t>majoritatea do</w:t>
      </w:r>
      <w:r w:rsidR="00C147FD">
        <w:rPr>
          <w:lang w:val="ro-RO"/>
        </w:rPr>
        <w:t>ctrinarilor</w:t>
      </w:r>
      <w:r w:rsidR="00C147FD">
        <w:rPr>
          <w:rStyle w:val="FootnoteReference"/>
          <w:lang w:val="ro-RO"/>
        </w:rPr>
        <w:footnoteReference w:id="17"/>
      </w:r>
      <w:r w:rsidR="00C147FD">
        <w:rPr>
          <w:lang w:val="ro-RO"/>
        </w:rPr>
        <w:t>,</w:t>
      </w:r>
      <w:r w:rsidR="00474BD2">
        <w:rPr>
          <w:lang w:val="ro-RO"/>
        </w:rPr>
        <w:t xml:space="preserve"> şi pe care o consideră</w:t>
      </w:r>
      <w:r w:rsidR="00B71C1A">
        <w:rPr>
          <w:lang w:val="ro-RO"/>
        </w:rPr>
        <w:t>m</w:t>
      </w:r>
      <w:r w:rsidR="00474BD2">
        <w:rPr>
          <w:lang w:val="ro-RO"/>
        </w:rPr>
        <w:t xml:space="preserve"> corectă,</w:t>
      </w:r>
      <w:r w:rsidR="00C147FD">
        <w:rPr>
          <w:lang w:val="ro-RO"/>
        </w:rPr>
        <w:t xml:space="preserve"> rezerva soţului supravieţuitor se impută asupra întregii moşteniri, iar rezerva celorlalţi moştenitori rezervatari se calculează asupra porţiunii din moştenire care rămâne după scăderea rezervei soţului supravieţuitor.</w:t>
      </w:r>
    </w:p>
    <w:p w:rsidR="00F21360" w:rsidRDefault="00474BD2" w:rsidP="006D614C">
      <w:pPr>
        <w:tabs>
          <w:tab w:val="left" w:pos="0"/>
        </w:tabs>
        <w:spacing w:after="0" w:line="360" w:lineRule="auto"/>
        <w:jc w:val="both"/>
        <w:rPr>
          <w:lang w:val="ro-RO"/>
        </w:rPr>
      </w:pPr>
      <w:r>
        <w:rPr>
          <w:lang w:val="ro-RO"/>
        </w:rPr>
        <w:tab/>
        <w:t>În ceea ce priveşte modalitatea de calcul a cotităţii dispo</w:t>
      </w:r>
      <w:r w:rsidR="000C1DA9">
        <w:rPr>
          <w:lang w:val="ro-RO"/>
        </w:rPr>
        <w:t>nibile speciale, de asemenea, s</w:t>
      </w:r>
      <w:r>
        <w:rPr>
          <w:lang w:val="ro-RO"/>
        </w:rPr>
        <w:t>-au formulat diverse opinii în doctrină dar şi în jurisprudenţă. Într-o primă opinie</w:t>
      </w:r>
      <w:r w:rsidR="00B76098">
        <w:rPr>
          <w:rStyle w:val="FootnoteReference"/>
          <w:lang w:val="ro-RO"/>
        </w:rPr>
        <w:footnoteReference w:id="18"/>
      </w:r>
      <w:r>
        <w:rPr>
          <w:lang w:val="ro-RO"/>
        </w:rPr>
        <w:t>, se consideră că descen</w:t>
      </w:r>
      <w:r w:rsidR="000C1DA9">
        <w:rPr>
          <w:lang w:val="ro-RO"/>
        </w:rPr>
        <w:t>dentului defunctului îi revine 1/2</w:t>
      </w:r>
      <w:r>
        <w:rPr>
          <w:lang w:val="ro-RO"/>
        </w:rPr>
        <w:t xml:space="preserve"> din moştenire în calitate de moştenitor rezervatar, iar soţul supravieţuitor va primi </w:t>
      </w:r>
      <w:r w:rsidR="000C1DA9">
        <w:rPr>
          <w:lang w:val="ro-RO"/>
        </w:rPr>
        <w:t>tot 1/2 din moştenire, din care 1/4</w:t>
      </w:r>
      <w:r>
        <w:rPr>
          <w:lang w:val="ro-RO"/>
        </w:rPr>
        <w:t xml:space="preserve"> va reprezenta cotitatea disponibilă specială a soţului</w:t>
      </w:r>
      <w:r w:rsidR="000C1DA9">
        <w:rPr>
          <w:lang w:val="ro-RO"/>
        </w:rPr>
        <w:t xml:space="preserve"> supravieţuitor, iar restul de 1/4</w:t>
      </w:r>
      <w:r>
        <w:rPr>
          <w:lang w:val="ro-RO"/>
        </w:rPr>
        <w:t xml:space="preserve"> va reprezenta cota legală la care soţul supravieţuitor are dreptul în calitate de moştenitor legal</w:t>
      </w:r>
      <w:r w:rsidR="00065FA9">
        <w:rPr>
          <w:rStyle w:val="FootnoteReference"/>
          <w:lang w:val="ro-RO"/>
        </w:rPr>
        <w:footnoteReference w:id="19"/>
      </w:r>
      <w:r>
        <w:rPr>
          <w:lang w:val="ro-RO"/>
        </w:rPr>
        <w:t>.</w:t>
      </w:r>
      <w:r w:rsidR="00065FA9">
        <w:rPr>
          <w:lang w:val="ro-RO"/>
        </w:rPr>
        <w:t xml:space="preserve"> </w:t>
      </w:r>
      <w:r w:rsidR="002D6E49">
        <w:rPr>
          <w:lang w:val="ro-RO"/>
        </w:rPr>
        <w:t>Într-o a doua opinie</w:t>
      </w:r>
      <w:r w:rsidR="002D6E49">
        <w:rPr>
          <w:rStyle w:val="FootnoteReference"/>
          <w:lang w:val="ro-RO"/>
        </w:rPr>
        <w:footnoteReference w:id="20"/>
      </w:r>
      <w:r w:rsidR="00B71C1A">
        <w:rPr>
          <w:lang w:val="ro-RO"/>
        </w:rPr>
        <w:t>, operaţiunea este după cum urmează</w:t>
      </w:r>
      <w:r w:rsidR="002D6E49">
        <w:rPr>
          <w:lang w:val="ro-RO"/>
        </w:rPr>
        <w:t>: din masa succesorală se scade cotitatea disponibil</w:t>
      </w:r>
      <w:r w:rsidR="002F4420">
        <w:rPr>
          <w:lang w:val="ro-RO"/>
        </w:rPr>
        <w:t>ă specială de 1/4</w:t>
      </w:r>
      <w:r w:rsidR="000C1DA9">
        <w:rPr>
          <w:lang w:val="ro-RO"/>
        </w:rPr>
        <w:t>, iar restul de 3/4</w:t>
      </w:r>
      <w:r w:rsidR="002D6E49">
        <w:rPr>
          <w:lang w:val="ro-RO"/>
        </w:rPr>
        <w:t xml:space="preserve"> din moştenire se va împărţi conform devoluţiunii legale</w:t>
      </w:r>
      <w:r w:rsidR="002D6E49">
        <w:rPr>
          <w:rStyle w:val="FootnoteReference"/>
          <w:lang w:val="ro-RO"/>
        </w:rPr>
        <w:footnoteReference w:id="21"/>
      </w:r>
      <w:r w:rsidR="002D6E49">
        <w:rPr>
          <w:lang w:val="ro-RO"/>
        </w:rPr>
        <w:t>.</w:t>
      </w:r>
      <w:r w:rsidR="0002542D">
        <w:rPr>
          <w:lang w:val="ro-RO"/>
        </w:rPr>
        <w:t xml:space="preserve"> În sfârşit, într-o altă opinie, pe care o considerăm corectă, modul de calcul al cotităţii disponibile speciale propus este următorul: </w:t>
      </w:r>
    </w:p>
    <w:p w:rsidR="002D3986" w:rsidRDefault="00F21360" w:rsidP="006D614C">
      <w:pPr>
        <w:tabs>
          <w:tab w:val="left" w:pos="0"/>
        </w:tabs>
        <w:spacing w:after="0" w:line="360" w:lineRule="auto"/>
        <w:jc w:val="both"/>
        <w:rPr>
          <w:lang w:val="ro-RO"/>
        </w:rPr>
      </w:pPr>
      <w:r>
        <w:rPr>
          <w:lang w:val="ro-RO"/>
        </w:rPr>
        <w:tab/>
        <w:t>Î</w:t>
      </w:r>
      <w:r w:rsidR="0002542D">
        <w:rPr>
          <w:lang w:val="ro-RO"/>
        </w:rPr>
        <w:t xml:space="preserve">n ipoteza în care soţul supravieţuitor vine în concurs cu </w:t>
      </w:r>
      <w:r w:rsidR="0002542D" w:rsidRPr="00F21360">
        <w:rPr>
          <w:i/>
          <w:lang w:val="ro-RO"/>
        </w:rPr>
        <w:t>un singur copil dintr-o căsătorie anterioară</w:t>
      </w:r>
      <w:r w:rsidR="0002542D">
        <w:rPr>
          <w:lang w:val="ro-RO"/>
        </w:rPr>
        <w:t xml:space="preserve"> a defunctului şi soţul supravieţuitor a fost institu</w:t>
      </w:r>
      <w:r w:rsidR="00B71C1A">
        <w:rPr>
          <w:lang w:val="ro-RO"/>
        </w:rPr>
        <w:t xml:space="preserve">it legatar: se vor stabili </w:t>
      </w:r>
      <w:r w:rsidR="0002542D">
        <w:rPr>
          <w:lang w:val="ro-RO"/>
        </w:rPr>
        <w:t>rezerva succesorală a soţului supravieţuitor</w:t>
      </w:r>
      <w:r>
        <w:rPr>
          <w:lang w:val="ro-RO"/>
        </w:rPr>
        <w:t xml:space="preserve"> care este de 1/8, apoi rezerva</w:t>
      </w:r>
      <w:r w:rsidR="0002542D">
        <w:rPr>
          <w:lang w:val="ro-RO"/>
        </w:rPr>
        <w:t xml:space="preserve"> descendenţilor</w:t>
      </w:r>
      <w:r>
        <w:rPr>
          <w:lang w:val="ro-RO"/>
        </w:rPr>
        <w:t>, care este de 3/8 din moştenire, ceea c</w:t>
      </w:r>
      <w:r w:rsidR="002F4420">
        <w:rPr>
          <w:lang w:val="ro-RO"/>
        </w:rPr>
        <w:t>e rezultă o rezervă globală de 1/2</w:t>
      </w:r>
      <w:r>
        <w:rPr>
          <w:lang w:val="ro-RO"/>
        </w:rPr>
        <w:t>, iar cotitatea</w:t>
      </w:r>
      <w:r w:rsidR="002F4420">
        <w:rPr>
          <w:lang w:val="ro-RO"/>
        </w:rPr>
        <w:t xml:space="preserve"> disponibilă ordinară va fi de 1/2</w:t>
      </w:r>
      <w:r>
        <w:rPr>
          <w:lang w:val="ro-RO"/>
        </w:rPr>
        <w:t xml:space="preserve"> din moştenire. Dacă soţul supravieţuitor gratificat nu ar fi venit în concurs cu copilul defunctului dintr-o căsătorie anterioară, întreaga cotitate disponibilă ordinară ar fi revenit soţului supravieţuitor, ca legatar, ceea ce înseamnă că soţul supravieţuitor ar fi primit 5/8 din moştenire, iar copilul ar fi primit doar rezerva sa de 3/8 din moştenire. Legiuitorul, însă, nu a considerat că acestă modalitate corespunde interesului copilului din căsătoria anterioară a defunctului şi a permis gratificarea soţului din ultima căsătorie doar </w:t>
      </w:r>
      <w:r>
        <w:rPr>
          <w:lang w:val="ro-RO"/>
        </w:rPr>
        <w:lastRenderedPageBreak/>
        <w:t xml:space="preserve">în limitele unei </w:t>
      </w:r>
      <w:r w:rsidR="002F4420">
        <w:rPr>
          <w:lang w:val="ro-RO"/>
        </w:rPr>
        <w:t xml:space="preserve">cotităţi </w:t>
      </w:r>
      <w:r>
        <w:rPr>
          <w:lang w:val="ro-RO"/>
        </w:rPr>
        <w:t>disponibile speciale. Această cotitate disponibilă nu poate depăşi un sfert din moştenire (limită fixă) şi nici partea copilului care a primit cel mai puţin (limită variabilă)</w:t>
      </w:r>
      <w:r w:rsidR="002D3986">
        <w:rPr>
          <w:rStyle w:val="FootnoteReference"/>
          <w:lang w:val="ro-RO"/>
        </w:rPr>
        <w:footnoteReference w:id="22"/>
      </w:r>
      <w:r>
        <w:rPr>
          <w:lang w:val="ro-RO"/>
        </w:rPr>
        <w:t>.</w:t>
      </w:r>
      <w:r w:rsidR="002D3986">
        <w:rPr>
          <w:lang w:val="ro-RO"/>
        </w:rPr>
        <w:t xml:space="preserve"> Aşadar, pe lângă rezerva sa de 1/8 din moştenire, soţul din ultima căsătorie mai poate be</w:t>
      </w:r>
      <w:r w:rsidR="008D4D05">
        <w:rPr>
          <w:lang w:val="ro-RO"/>
        </w:rPr>
        <w:t>neficia de cotitatea disponibilă</w:t>
      </w:r>
      <w:r w:rsidR="002D3986">
        <w:rPr>
          <w:lang w:val="ro-RO"/>
        </w:rPr>
        <w:t xml:space="preserve"> specială. Cum copilul din căsătoria anterioară nu poate primi mai puţin decât rezerva sa de 3/8 din moştenire, rezultă, în acest caz, cotitatea disponibilă specială a s</w:t>
      </w:r>
      <w:r w:rsidR="00660A49">
        <w:rPr>
          <w:lang w:val="ro-RO"/>
        </w:rPr>
        <w:t>oţului supravieţuitor va fi de 1/4</w:t>
      </w:r>
      <w:r w:rsidR="002D3986">
        <w:rPr>
          <w:lang w:val="ro-RO"/>
        </w:rPr>
        <w:t xml:space="preserve"> din moştenire (deci se va raporta la limita fixă)</w:t>
      </w:r>
      <w:r w:rsidR="004B6D5E">
        <w:rPr>
          <w:rStyle w:val="FootnoteReference"/>
          <w:lang w:val="ro-RO"/>
        </w:rPr>
        <w:footnoteReference w:id="23"/>
      </w:r>
      <w:r w:rsidR="002D3986">
        <w:rPr>
          <w:lang w:val="ro-RO"/>
        </w:rPr>
        <w:t xml:space="preserve">. În situaţia aceasta, cotitatea disponibilă specială este mai mică decât cotitatea disponibilă ordinară, şi astfel se pune întrebarea, ce se întâmplă cu diferenţa? Bineînţeles, defunctul poate dispune de această diferenţă în favoarea oricui, cu excepţia soţului din ultima căsătorie. </w:t>
      </w:r>
      <w:r w:rsidR="00861946">
        <w:rPr>
          <w:lang w:val="ro-RO"/>
        </w:rPr>
        <w:t>Dacă defunctul nu a dispus însă de această diferenţă, acea parte din moştenire urmează să fie atribuită copilului defunctului</w:t>
      </w:r>
      <w:r w:rsidR="00861946">
        <w:rPr>
          <w:rStyle w:val="FootnoteReference"/>
          <w:lang w:val="ro-RO"/>
        </w:rPr>
        <w:footnoteReference w:id="24"/>
      </w:r>
      <w:r w:rsidR="00861946">
        <w:rPr>
          <w:lang w:val="ro-RO"/>
        </w:rPr>
        <w:t xml:space="preserve">. În final, soţul supravieţuitor va primi 3/8 din moştenire (1/8 rezervă </w:t>
      </w:r>
      <w:r w:rsidR="00E1629D">
        <w:rPr>
          <w:lang w:val="ro-RO"/>
        </w:rPr>
        <w:t xml:space="preserve">+ </w:t>
      </w:r>
      <w:r w:rsidR="00EA0C9E">
        <w:rPr>
          <w:lang w:val="ro-RO"/>
        </w:rPr>
        <w:t>1/4</w:t>
      </w:r>
      <w:r w:rsidR="00861946">
        <w:rPr>
          <w:lang w:val="ro-RO"/>
        </w:rPr>
        <w:t xml:space="preserve"> cotitate disponibilă specială), iar copilul va primi 5/8 din moştenire (3/8 rezerva</w:t>
      </w:r>
      <w:r w:rsidR="00E1629D">
        <w:rPr>
          <w:lang w:val="ro-RO"/>
        </w:rPr>
        <w:t xml:space="preserve"> +</w:t>
      </w:r>
      <w:r w:rsidR="00EA0C9E">
        <w:rPr>
          <w:lang w:val="ro-RO"/>
        </w:rPr>
        <w:t xml:space="preserve"> 1/4</w:t>
      </w:r>
      <w:r w:rsidR="00861946">
        <w:rPr>
          <w:lang w:val="ro-RO"/>
        </w:rPr>
        <w:t xml:space="preserve"> diferenţa dintre cotitatea disponibilă ordinară şi cotitatea disponibilă specială.)</w:t>
      </w:r>
      <w:r w:rsidR="00311743">
        <w:rPr>
          <w:lang w:val="ro-RO"/>
        </w:rPr>
        <w:t>. Această modalitate de calcul poate fi realizată cu ajutorul următorului ta</w:t>
      </w:r>
      <w:r w:rsidR="00EA0C9E">
        <w:rPr>
          <w:lang w:val="ro-RO"/>
        </w:rPr>
        <w:t>bel,</w:t>
      </w:r>
      <w:r w:rsidR="00311743">
        <w:rPr>
          <w:lang w:val="ro-RO"/>
        </w:rPr>
        <w:t xml:space="preserve"> unde</w:t>
      </w:r>
      <w:r w:rsidR="00EA0C9E">
        <w:rPr>
          <w:lang w:val="ro-RO"/>
        </w:rPr>
        <w:t>:</w:t>
      </w:r>
      <w:r w:rsidR="00311743">
        <w:rPr>
          <w:lang w:val="ro-RO"/>
        </w:rPr>
        <w:t xml:space="preserve"> Rcopil reprezintă rezerva copilului care a primit cel mai puţin, CD teoretică reprezintă cotitatea disponibilă teoretică şi Q reprezintă cuantumul moştenirii.</w:t>
      </w:r>
    </w:p>
    <w:p w:rsidR="00311743" w:rsidRDefault="00311743" w:rsidP="006D614C">
      <w:pPr>
        <w:tabs>
          <w:tab w:val="left" w:pos="0"/>
        </w:tabs>
        <w:spacing w:after="0" w:line="360" w:lineRule="auto"/>
        <w:jc w:val="both"/>
        <w:rPr>
          <w:lang w:val="ro-RO"/>
        </w:rPr>
      </w:pPr>
    </w:p>
    <w:tbl>
      <w:tblPr>
        <w:tblStyle w:val="TableGrid"/>
        <w:tblW w:w="0" w:type="auto"/>
        <w:tblInd w:w="1154" w:type="dxa"/>
        <w:tblBorders>
          <w:top w:val="none" w:sz="0" w:space="0" w:color="auto"/>
          <w:left w:val="none" w:sz="0" w:space="0" w:color="auto"/>
          <w:bottom w:val="none" w:sz="0" w:space="0" w:color="auto"/>
          <w:right w:val="none" w:sz="0" w:space="0" w:color="auto"/>
        </w:tblBorders>
        <w:tblLook w:val="04A0"/>
      </w:tblPr>
      <w:tblGrid>
        <w:gridCol w:w="2374"/>
        <w:gridCol w:w="2374"/>
        <w:gridCol w:w="2374"/>
      </w:tblGrid>
      <w:tr w:rsidR="00861946" w:rsidTr="00311743">
        <w:trPr>
          <w:trHeight w:val="568"/>
        </w:trPr>
        <w:tc>
          <w:tcPr>
            <w:tcW w:w="2374" w:type="dxa"/>
          </w:tcPr>
          <w:p w:rsidR="00861946" w:rsidRPr="00311743" w:rsidRDefault="00311743" w:rsidP="00311743">
            <w:pPr>
              <w:tabs>
                <w:tab w:val="left" w:pos="0"/>
              </w:tabs>
              <w:spacing w:line="360" w:lineRule="auto"/>
              <w:jc w:val="center"/>
              <w:rPr>
                <w:b/>
                <w:lang w:val="ro-RO"/>
              </w:rPr>
            </w:pPr>
            <w:r>
              <w:rPr>
                <w:b/>
                <w:sz w:val="32"/>
                <w:szCs w:val="32"/>
                <w:lang w:val="ro-RO"/>
              </w:rPr>
              <w:t>R</w:t>
            </w:r>
            <w:r>
              <w:rPr>
                <w:b/>
                <w:lang w:val="ro-RO"/>
              </w:rPr>
              <w:t>copil</w:t>
            </w:r>
          </w:p>
        </w:tc>
        <w:tc>
          <w:tcPr>
            <w:tcW w:w="2374" w:type="dxa"/>
          </w:tcPr>
          <w:p w:rsidR="00861946" w:rsidRPr="00311743" w:rsidRDefault="00311743" w:rsidP="00311743">
            <w:pPr>
              <w:tabs>
                <w:tab w:val="left" w:pos="0"/>
              </w:tabs>
              <w:spacing w:line="360" w:lineRule="auto"/>
              <w:jc w:val="center"/>
              <w:rPr>
                <w:b/>
                <w:lang w:val="ro-RO"/>
              </w:rPr>
            </w:pPr>
            <w:r w:rsidRPr="00311743">
              <w:rPr>
                <w:b/>
                <w:sz w:val="32"/>
                <w:szCs w:val="32"/>
                <w:lang w:val="ro-RO"/>
              </w:rPr>
              <w:t>CD</w:t>
            </w:r>
            <w:r>
              <w:rPr>
                <w:b/>
                <w:lang w:val="ro-RO"/>
              </w:rPr>
              <w:t>teoretică</w:t>
            </w:r>
          </w:p>
        </w:tc>
        <w:tc>
          <w:tcPr>
            <w:tcW w:w="2374" w:type="dxa"/>
          </w:tcPr>
          <w:p w:rsidR="00861946" w:rsidRPr="00311743" w:rsidRDefault="00311743" w:rsidP="00311743">
            <w:pPr>
              <w:tabs>
                <w:tab w:val="left" w:pos="0"/>
              </w:tabs>
              <w:spacing w:line="360" w:lineRule="auto"/>
              <w:jc w:val="center"/>
              <w:rPr>
                <w:b/>
                <w:sz w:val="32"/>
                <w:szCs w:val="32"/>
                <w:lang w:val="ro-RO"/>
              </w:rPr>
            </w:pPr>
            <w:r w:rsidRPr="00311743">
              <w:rPr>
                <w:b/>
                <w:sz w:val="32"/>
                <w:szCs w:val="32"/>
                <w:lang w:val="ro-RO"/>
              </w:rPr>
              <w:t>Q</w:t>
            </w:r>
          </w:p>
        </w:tc>
      </w:tr>
      <w:tr w:rsidR="00861946" w:rsidTr="00311743">
        <w:trPr>
          <w:trHeight w:val="548"/>
        </w:trPr>
        <w:tc>
          <w:tcPr>
            <w:tcW w:w="2374" w:type="dxa"/>
          </w:tcPr>
          <w:p w:rsidR="00861946" w:rsidRPr="00311743" w:rsidRDefault="00311743" w:rsidP="00311743">
            <w:pPr>
              <w:tabs>
                <w:tab w:val="left" w:pos="0"/>
              </w:tabs>
              <w:spacing w:line="360" w:lineRule="auto"/>
              <w:jc w:val="center"/>
              <w:rPr>
                <w:sz w:val="32"/>
                <w:szCs w:val="32"/>
                <w:lang w:val="ro-RO"/>
              </w:rPr>
            </w:pPr>
            <w:r>
              <w:rPr>
                <w:sz w:val="32"/>
                <w:szCs w:val="32"/>
                <w:lang w:val="ro-RO"/>
              </w:rPr>
              <w:t>3/8</w:t>
            </w:r>
          </w:p>
        </w:tc>
        <w:tc>
          <w:tcPr>
            <w:tcW w:w="2374" w:type="dxa"/>
          </w:tcPr>
          <w:p w:rsidR="00861946" w:rsidRPr="00311743" w:rsidRDefault="00311743" w:rsidP="00311743">
            <w:pPr>
              <w:tabs>
                <w:tab w:val="left" w:pos="0"/>
              </w:tabs>
              <w:spacing w:line="360" w:lineRule="auto"/>
              <w:jc w:val="center"/>
              <w:rPr>
                <w:sz w:val="32"/>
                <w:szCs w:val="32"/>
                <w:lang w:val="ro-RO"/>
              </w:rPr>
            </w:pPr>
            <w:r w:rsidRPr="00311743">
              <w:rPr>
                <w:sz w:val="32"/>
                <w:szCs w:val="32"/>
                <w:lang w:val="ro-RO"/>
              </w:rPr>
              <w:t>1/2</w:t>
            </w:r>
          </w:p>
        </w:tc>
        <w:tc>
          <w:tcPr>
            <w:tcW w:w="2374" w:type="dxa"/>
          </w:tcPr>
          <w:p w:rsidR="00861946" w:rsidRPr="00311743" w:rsidRDefault="00EA0C9E" w:rsidP="00311743">
            <w:pPr>
              <w:tabs>
                <w:tab w:val="left" w:pos="0"/>
              </w:tabs>
              <w:spacing w:line="360" w:lineRule="auto"/>
              <w:jc w:val="center"/>
              <w:rPr>
                <w:sz w:val="32"/>
                <w:szCs w:val="32"/>
                <w:lang w:val="ro-RO"/>
              </w:rPr>
            </w:pPr>
            <w:r>
              <w:rPr>
                <w:sz w:val="32"/>
                <w:szCs w:val="32"/>
                <w:lang w:val="ro-RO"/>
              </w:rPr>
              <w:t>1/4</w:t>
            </w:r>
          </w:p>
        </w:tc>
      </w:tr>
      <w:tr w:rsidR="00861946" w:rsidTr="00311743">
        <w:trPr>
          <w:trHeight w:val="568"/>
        </w:trPr>
        <w:tc>
          <w:tcPr>
            <w:tcW w:w="2374" w:type="dxa"/>
          </w:tcPr>
          <w:p w:rsidR="00861946" w:rsidRPr="00311743" w:rsidRDefault="00311743" w:rsidP="00311743">
            <w:pPr>
              <w:tabs>
                <w:tab w:val="left" w:pos="0"/>
              </w:tabs>
              <w:spacing w:line="360" w:lineRule="auto"/>
              <w:jc w:val="center"/>
              <w:rPr>
                <w:sz w:val="32"/>
                <w:szCs w:val="32"/>
                <w:lang w:val="ro-RO"/>
              </w:rPr>
            </w:pPr>
            <w:r w:rsidRPr="00311743">
              <w:rPr>
                <w:sz w:val="32"/>
                <w:szCs w:val="32"/>
                <w:lang w:val="ro-RO"/>
              </w:rPr>
              <w:t>3/8</w:t>
            </w:r>
          </w:p>
        </w:tc>
        <w:tc>
          <w:tcPr>
            <w:tcW w:w="2374" w:type="dxa"/>
          </w:tcPr>
          <w:p w:rsidR="00861946" w:rsidRPr="00311743" w:rsidRDefault="00311743" w:rsidP="00311743">
            <w:pPr>
              <w:tabs>
                <w:tab w:val="left" w:pos="0"/>
              </w:tabs>
              <w:spacing w:line="360" w:lineRule="auto"/>
              <w:jc w:val="center"/>
              <w:rPr>
                <w:sz w:val="32"/>
                <w:szCs w:val="32"/>
                <w:lang w:val="ro-RO"/>
              </w:rPr>
            </w:pPr>
            <w:r>
              <w:rPr>
                <w:sz w:val="32"/>
                <w:szCs w:val="32"/>
                <w:lang w:val="ro-RO"/>
              </w:rPr>
              <w:t>4/8</w:t>
            </w:r>
          </w:p>
        </w:tc>
        <w:tc>
          <w:tcPr>
            <w:tcW w:w="2374" w:type="dxa"/>
          </w:tcPr>
          <w:p w:rsidR="00861946" w:rsidRPr="00311743" w:rsidRDefault="00311743" w:rsidP="00311743">
            <w:pPr>
              <w:tabs>
                <w:tab w:val="left" w:pos="0"/>
              </w:tabs>
              <w:spacing w:line="360" w:lineRule="auto"/>
              <w:jc w:val="center"/>
              <w:rPr>
                <w:sz w:val="32"/>
                <w:szCs w:val="32"/>
                <w:lang w:val="ro-RO"/>
              </w:rPr>
            </w:pPr>
            <w:r>
              <w:rPr>
                <w:sz w:val="32"/>
                <w:szCs w:val="32"/>
                <w:lang w:val="ro-RO"/>
              </w:rPr>
              <w:t>2/8</w:t>
            </w:r>
          </w:p>
        </w:tc>
      </w:tr>
    </w:tbl>
    <w:p w:rsidR="00E64A7E" w:rsidRDefault="00E64A7E" w:rsidP="00E64A7E">
      <w:pPr>
        <w:tabs>
          <w:tab w:val="left" w:pos="0"/>
          <w:tab w:val="left" w:pos="450"/>
        </w:tabs>
        <w:spacing w:after="0" w:line="360" w:lineRule="auto"/>
        <w:jc w:val="both"/>
        <w:rPr>
          <w:lang w:val="ro-RO"/>
        </w:rPr>
      </w:pPr>
    </w:p>
    <w:p w:rsidR="00861946" w:rsidRPr="00E1629D" w:rsidRDefault="00E64A7E" w:rsidP="00E64A7E">
      <w:pPr>
        <w:tabs>
          <w:tab w:val="left" w:pos="0"/>
          <w:tab w:val="left" w:pos="450"/>
        </w:tabs>
        <w:spacing w:after="0" w:line="360" w:lineRule="auto"/>
        <w:jc w:val="both"/>
      </w:pPr>
      <w:r>
        <w:rPr>
          <w:lang w:val="ro-RO"/>
        </w:rPr>
        <w:tab/>
        <w:t xml:space="preserve">În ipoteza în care soţul surpravieţuitor vine în concurs cu </w:t>
      </w:r>
      <w:r w:rsidRPr="00E64A7E">
        <w:rPr>
          <w:i/>
          <w:lang w:val="ro-RO"/>
        </w:rPr>
        <w:t>doi copii ai defunctului, dintre care cel puţin unul provine dintr-o căsătorie anterioară a acestuia</w:t>
      </w:r>
      <w:r>
        <w:rPr>
          <w:lang w:val="ro-RO"/>
        </w:rPr>
        <w:t>, iar soţul supravieţuitor a fost instituit legatar</w:t>
      </w:r>
      <w:r w:rsidR="00A36856">
        <w:rPr>
          <w:rStyle w:val="FootnoteReference"/>
          <w:lang w:val="ro-RO"/>
        </w:rPr>
        <w:footnoteReference w:id="25"/>
      </w:r>
      <w:r>
        <w:rPr>
          <w:lang w:val="ro-RO"/>
        </w:rPr>
        <w:t xml:space="preserve"> universal, se stabileşte rezerva cum am arătat anterior, în acest caz rezerva fiecărui copil fiind de 3/16 din moştenire</w:t>
      </w:r>
      <w:r w:rsidR="004B6D5E">
        <w:rPr>
          <w:lang w:val="ro-RO"/>
        </w:rPr>
        <w:t>,</w:t>
      </w:r>
      <w:r w:rsidR="00EA0C9E">
        <w:rPr>
          <w:lang w:val="ro-RO"/>
        </w:rPr>
        <w:t xml:space="preserve"> rezultând o rezervă totală de 1/2</w:t>
      </w:r>
      <w:r w:rsidR="004B6D5E">
        <w:rPr>
          <w:lang w:val="ro-RO"/>
        </w:rPr>
        <w:t xml:space="preserve"> din moştenire. Pri</w:t>
      </w:r>
      <w:r w:rsidR="00EA0C9E">
        <w:rPr>
          <w:lang w:val="ro-RO"/>
        </w:rPr>
        <w:t>n urmare, va rămîne un rest de 1/2</w:t>
      </w:r>
      <w:r w:rsidR="004B6D5E">
        <w:rPr>
          <w:lang w:val="ro-RO"/>
        </w:rPr>
        <w:t xml:space="preserve"> care ar trebui acordat soţului supravieţuitor, acea</w:t>
      </w:r>
      <w:r w:rsidR="00EA0C9E">
        <w:rPr>
          <w:lang w:val="ro-RO"/>
        </w:rPr>
        <w:t>stă valoare va fi comparată cu 1/4</w:t>
      </w:r>
      <w:r w:rsidR="004B6D5E">
        <w:rPr>
          <w:lang w:val="ro-RO"/>
        </w:rPr>
        <w:t xml:space="preserve"> - limită fixă </w:t>
      </w:r>
      <w:r w:rsidR="004B6D5E">
        <w:rPr>
          <w:lang w:val="ro-RO"/>
        </w:rPr>
        <w:lastRenderedPageBreak/>
        <w:t xml:space="preserve">şi cu 3/16 </w:t>
      </w:r>
      <w:r w:rsidR="00E1629D">
        <w:rPr>
          <w:lang w:val="ro-RO"/>
        </w:rPr>
        <w:t xml:space="preserve">rezerva fiecărui copil şi decidem că îi mai putem acorda soţului, cu titlu de cotitate disponibilă specială, încă, 3/16 din succesiune, </w:t>
      </w:r>
      <w:r w:rsidR="00833835">
        <w:rPr>
          <w:lang w:val="ro-RO"/>
        </w:rPr>
        <w:t>deci soţul va primi 5/16 din succesiune, iar restul de cotitate disponibilă ordinară de 5/16 va fi împărţit în mod egal între descendenţi</w:t>
      </w:r>
      <w:r w:rsidR="00833835">
        <w:rPr>
          <w:rStyle w:val="FootnoteReference"/>
          <w:lang w:val="ro-RO"/>
        </w:rPr>
        <w:footnoteReference w:id="26"/>
      </w:r>
      <w:r w:rsidR="00833835">
        <w:rPr>
          <w:lang w:val="ro-RO"/>
        </w:rPr>
        <w:t>.</w:t>
      </w:r>
    </w:p>
    <w:p w:rsidR="00311743" w:rsidRDefault="00833835" w:rsidP="006D614C">
      <w:pPr>
        <w:tabs>
          <w:tab w:val="left" w:pos="0"/>
        </w:tabs>
        <w:spacing w:after="0" w:line="360" w:lineRule="auto"/>
        <w:jc w:val="both"/>
        <w:rPr>
          <w:lang w:val="ro-RO"/>
        </w:rPr>
      </w:pPr>
      <w:r>
        <w:rPr>
          <w:lang w:val="ro-RO"/>
        </w:rPr>
        <w:tab/>
      </w:r>
      <w:r w:rsidR="00303923">
        <w:rPr>
          <w:lang w:val="ro-RO"/>
        </w:rPr>
        <w:t xml:space="preserve">Dacă </w:t>
      </w:r>
      <w:r w:rsidR="00303923" w:rsidRPr="00303923">
        <w:rPr>
          <w:i/>
          <w:lang w:val="ro-RO"/>
        </w:rPr>
        <w:t>de cuius</w:t>
      </w:r>
      <w:r w:rsidR="00303923">
        <w:rPr>
          <w:lang w:val="ro-RO"/>
        </w:rPr>
        <w:t xml:space="preserve"> are trei copii, dintre care unul dintr-o căsătorie anterioară, şi îi lasă prin legat</w:t>
      </w:r>
      <w:r w:rsidR="00A36856">
        <w:rPr>
          <w:lang w:val="ro-RO"/>
        </w:rPr>
        <w:t xml:space="preserve"> întreaga moştenire soţiei supravie</w:t>
      </w:r>
      <w:r w:rsidR="00EA0C9E">
        <w:rPr>
          <w:lang w:val="ro-RO"/>
        </w:rPr>
        <w:t>ţuitoare, se calculează mai întâ</w:t>
      </w:r>
      <w:r w:rsidR="00A36856">
        <w:rPr>
          <w:lang w:val="ro-RO"/>
        </w:rPr>
        <w:t>i rezervele moştenitorilor</w:t>
      </w:r>
      <w:r w:rsidR="00EB5A62">
        <w:rPr>
          <w:lang w:val="ro-RO"/>
        </w:rPr>
        <w:t xml:space="preserve">, soţul 1/8, fiecare copil </w:t>
      </w:r>
      <w:r w:rsidR="00F642CF">
        <w:rPr>
          <w:lang w:val="ro-RO"/>
        </w:rPr>
        <w:t>1/8,</w:t>
      </w:r>
      <w:r w:rsidR="00EA0C9E">
        <w:rPr>
          <w:lang w:val="ro-RO"/>
        </w:rPr>
        <w:t xml:space="preserve"> rezultând o rezervă totală de 1/2</w:t>
      </w:r>
      <w:r w:rsidR="00F642CF">
        <w:rPr>
          <w:lang w:val="ro-RO"/>
        </w:rPr>
        <w:t xml:space="preserve"> din moşten</w:t>
      </w:r>
      <w:r w:rsidR="00EA0C9E">
        <w:rPr>
          <w:lang w:val="ro-RO"/>
        </w:rPr>
        <w:t>ire, de unde deducem că rămâne 1/2</w:t>
      </w:r>
      <w:r w:rsidR="00F642CF">
        <w:rPr>
          <w:lang w:val="ro-RO"/>
        </w:rPr>
        <w:t xml:space="preserve"> de acordat soţului supravieţuitor.</w:t>
      </w:r>
      <w:r w:rsidR="00EA0C9E">
        <w:rPr>
          <w:lang w:val="ro-RO"/>
        </w:rPr>
        <w:t xml:space="preserve"> Se compară această valoare cu 1/4</w:t>
      </w:r>
      <w:r w:rsidR="00F642CF">
        <w:rPr>
          <w:lang w:val="ro-RO"/>
        </w:rPr>
        <w:t>- limita fixă şi cu 1/8 - rezerva fiecărui copil şi reiese că se va putea acorda soţului supravieţuitor, cu titlu de cotitate disponibilă specială, încă 1/8 din succesiune</w:t>
      </w:r>
      <w:r w:rsidR="008D2A63">
        <w:rPr>
          <w:lang w:val="ro-RO"/>
        </w:rPr>
        <w:t xml:space="preserve">. Aşadar, soţul va primi 2/8 din succesiune, iar restul de cotitate disponibilă ordinară de 3/8 va fi împărţit în mod egal de descendenţi. </w:t>
      </w:r>
    </w:p>
    <w:p w:rsidR="008D2A63" w:rsidRPr="009F0889" w:rsidRDefault="008D2A63" w:rsidP="006D614C">
      <w:pPr>
        <w:tabs>
          <w:tab w:val="left" w:pos="0"/>
        </w:tabs>
        <w:spacing w:after="0" w:line="360" w:lineRule="auto"/>
        <w:jc w:val="both"/>
        <w:rPr>
          <w:lang w:val="ro-RO"/>
        </w:rPr>
      </w:pPr>
    </w:p>
    <w:p w:rsidR="00F23C05" w:rsidRDefault="00AB14E7" w:rsidP="00F23C05">
      <w:pPr>
        <w:pStyle w:val="ListParagraph"/>
        <w:numPr>
          <w:ilvl w:val="0"/>
          <w:numId w:val="1"/>
        </w:numPr>
        <w:tabs>
          <w:tab w:val="left" w:pos="0"/>
        </w:tabs>
        <w:spacing w:after="0" w:line="360" w:lineRule="auto"/>
        <w:jc w:val="both"/>
        <w:rPr>
          <w:i/>
          <w:lang w:val="ro-RO"/>
        </w:rPr>
      </w:pPr>
      <w:r>
        <w:rPr>
          <w:i/>
          <w:lang w:val="ro-RO"/>
        </w:rPr>
        <w:t>Sancţiunea depăşirii cotităţii disponibile speciale şi a disimulării liberalităţilor în favoarea soţului supravieţuitor prin acte oneroase sau prin persoane interpuse</w:t>
      </w:r>
    </w:p>
    <w:p w:rsidR="00A363B8" w:rsidRDefault="009D2B63" w:rsidP="00A363B8">
      <w:pPr>
        <w:pStyle w:val="ListParagraph"/>
        <w:tabs>
          <w:tab w:val="left" w:pos="0"/>
        </w:tabs>
        <w:spacing w:after="0" w:line="360" w:lineRule="auto"/>
        <w:ind w:left="0" w:firstLine="720"/>
        <w:jc w:val="both"/>
        <w:rPr>
          <w:lang w:val="ro-RO"/>
        </w:rPr>
      </w:pPr>
      <w:r>
        <w:rPr>
          <w:lang w:val="ro-RO"/>
        </w:rPr>
        <w:t xml:space="preserve">Noul Cod civil nu prevede expres în art. 1.090 o sancţiune specială în cazul încălcării limitelor în care </w:t>
      </w:r>
      <w:r w:rsidRPr="00460EBA">
        <w:rPr>
          <w:i/>
          <w:lang w:val="ro-RO"/>
        </w:rPr>
        <w:t>de cuius</w:t>
      </w:r>
      <w:r>
        <w:rPr>
          <w:lang w:val="ro-RO"/>
        </w:rPr>
        <w:t xml:space="preserve"> p</w:t>
      </w:r>
      <w:r w:rsidR="00857081">
        <w:rPr>
          <w:lang w:val="ro-RO"/>
        </w:rPr>
        <w:t>oate</w:t>
      </w:r>
      <w:r>
        <w:rPr>
          <w:lang w:val="ro-RO"/>
        </w:rPr>
        <w:t xml:space="preserve"> face donaţii sau dispoziţii testamentare în favoarea soţului supravieţuitor care concur</w:t>
      </w:r>
      <w:r w:rsidR="00857081">
        <w:rPr>
          <w:lang w:val="ro-RO"/>
        </w:rPr>
        <w:t>ează cu descendenţii dintr-o căs</w:t>
      </w:r>
      <w:r>
        <w:rPr>
          <w:lang w:val="ro-RO"/>
        </w:rPr>
        <w:t>ătorie anterioară sau din afara căsătoriei ori din adopţie. Astfel fiind, se va aplica sancţiunea prevăzută pentru depăşirea cotităţii disponibile ordinare: reducţiunea (reducerea) liberalităţilor excesive în limitele cotităţii disponibile speciale, prevăzută în art. 1.092 C. civ.</w:t>
      </w:r>
      <w:r w:rsidR="00CD3E8B">
        <w:rPr>
          <w:lang w:val="ro-RO"/>
        </w:rPr>
        <w:t xml:space="preserve"> </w:t>
      </w:r>
    </w:p>
    <w:p w:rsidR="00A363B8" w:rsidRDefault="00A363B8" w:rsidP="00A363B8">
      <w:pPr>
        <w:pStyle w:val="ListParagraph"/>
        <w:tabs>
          <w:tab w:val="left" w:pos="0"/>
        </w:tabs>
        <w:spacing w:after="0" w:line="360" w:lineRule="auto"/>
        <w:ind w:left="0" w:firstLine="720"/>
        <w:jc w:val="both"/>
        <w:rPr>
          <w:lang w:val="ro-RO"/>
        </w:rPr>
      </w:pPr>
      <w:r>
        <w:rPr>
          <w:lang w:val="ro-RO"/>
        </w:rPr>
        <w:t xml:space="preserve">Dreptul de a cere reducţiunea liberalităţilor care depăşesc cotitatea disponibilă specială aparţine numai copiilor în favoarea cărora s-a instituit această cotitate disponibilă. Aşadar, numai copii dintr-o căsătorie anterioară ultimei căsătorii a defunctului, care vin efectiv la moştenire, vor avea calitatea de a invoca dispoziţiile art. 1.090 C.civ. </w:t>
      </w:r>
      <w:r w:rsidR="00693531">
        <w:rPr>
          <w:lang w:val="ro-RO"/>
        </w:rPr>
        <w:t>Deşi acţiunea poate profita indirect şi altor pesoane, cum sunt copii din ultima căsătorie a defunctului (căci în cadrul moştenirii legale ei au drepturi egale), beneficiarii unui legat conjunctiv alături de soţul supravieţuitor (care, în limitele cotităţii disponibile ordinare a moştenirii pot culege partea pe care nu o poate primi soţul supravieţuitor) sau legatarii (care pot beneficia de reducţiunea donaţiei făcute în favoarea soţului suprravieţuitor cu depăşirea cotităţii disponibile speciale), aceastea nu pot introduce niciodată acţiunea în reducţiune</w:t>
      </w:r>
      <w:r w:rsidR="00693531">
        <w:rPr>
          <w:rStyle w:val="FootnoteReference"/>
          <w:lang w:val="ro-RO"/>
        </w:rPr>
        <w:footnoteReference w:id="27"/>
      </w:r>
      <w:r w:rsidR="00693531">
        <w:rPr>
          <w:lang w:val="ro-RO"/>
        </w:rPr>
        <w:t xml:space="preserve">. Aceştia pot beneficia </w:t>
      </w:r>
      <w:r w:rsidR="00693531">
        <w:rPr>
          <w:lang w:val="ro-RO"/>
        </w:rPr>
        <w:lastRenderedPageBreak/>
        <w:t>însă de reducţiunea liberalităţii care a depăşit cotitatea disponibilă specială, solicitată</w:t>
      </w:r>
      <w:r w:rsidR="00BF3126">
        <w:rPr>
          <w:lang w:val="ro-RO"/>
        </w:rPr>
        <w:t xml:space="preserve"> de copiii din căsătoria anterioară, deoarece pot să culeagă o parte din cota ce reprezintă diferenţa dintre cotitatea disponibilă ordinară şi cotitatea disponibilă specială</w:t>
      </w:r>
      <w:r w:rsidR="00BF3126">
        <w:rPr>
          <w:rStyle w:val="FootnoteReference"/>
          <w:lang w:val="ro-RO"/>
        </w:rPr>
        <w:footnoteReference w:id="28"/>
      </w:r>
      <w:r w:rsidR="00BF3126">
        <w:rPr>
          <w:lang w:val="ro-RO"/>
        </w:rPr>
        <w:t>.</w:t>
      </w:r>
    </w:p>
    <w:p w:rsidR="00A363B8" w:rsidRDefault="00CD3E8B" w:rsidP="00A363B8">
      <w:pPr>
        <w:pStyle w:val="ListParagraph"/>
        <w:tabs>
          <w:tab w:val="left" w:pos="0"/>
        </w:tabs>
        <w:spacing w:after="0" w:line="360" w:lineRule="auto"/>
        <w:ind w:left="0" w:firstLine="720"/>
        <w:jc w:val="both"/>
        <w:rPr>
          <w:lang w:val="ro-RO"/>
        </w:rPr>
      </w:pPr>
      <w:r>
        <w:rPr>
          <w:lang w:val="ro-RO"/>
        </w:rPr>
        <w:t xml:space="preserve">Reducţiunea nu afectează </w:t>
      </w:r>
      <w:r w:rsidR="00A363B8">
        <w:rPr>
          <w:lang w:val="ro-RO"/>
        </w:rPr>
        <w:t>actul de liberalitate din punctul de vedere al validităţii acestuia, ci, în principiu, numai îl amputează, îl lipseşte de efecte parţial în măsura în care depăşeşte cotitatea disponibilă specială - în această</w:t>
      </w:r>
      <w:r w:rsidR="00B120CB">
        <w:rPr>
          <w:lang w:val="ro-RO"/>
        </w:rPr>
        <w:t xml:space="preserve"> situaţie - în rest rămânând va</w:t>
      </w:r>
      <w:r w:rsidR="00A363B8">
        <w:rPr>
          <w:lang w:val="ro-RO"/>
        </w:rPr>
        <w:t>labil şi eficient. Dacă o liberalitate încalcă însă în întregul ei o cotitate disponibilă, cum se întâmplă, de exemplu, atunci când defunctul a făcut în timpul vieţii donaţii care au consumat întreaga cotitate disponibilă, legatele, care conform art. 1.096 alin</w:t>
      </w:r>
      <w:r w:rsidR="00F956F5">
        <w:rPr>
          <w:lang w:val="ro-RO"/>
        </w:rPr>
        <w:t>. (1) C.</w:t>
      </w:r>
      <w:r w:rsidR="00A363B8">
        <w:rPr>
          <w:lang w:val="ro-RO"/>
        </w:rPr>
        <w:t>civ. se reduc înaintea donaţiilor, rămân fără efecte în întregul lor</w:t>
      </w:r>
      <w:r w:rsidR="00A363B8">
        <w:rPr>
          <w:rStyle w:val="FootnoteReference"/>
          <w:lang w:val="ro-RO"/>
        </w:rPr>
        <w:footnoteReference w:id="29"/>
      </w:r>
      <w:r w:rsidR="00A363B8">
        <w:rPr>
          <w:lang w:val="ro-RO"/>
        </w:rPr>
        <w:t>.</w:t>
      </w:r>
    </w:p>
    <w:p w:rsidR="00BF3126" w:rsidRDefault="00BF3126" w:rsidP="00A363B8">
      <w:pPr>
        <w:pStyle w:val="ListParagraph"/>
        <w:tabs>
          <w:tab w:val="left" w:pos="0"/>
        </w:tabs>
        <w:spacing w:after="0" w:line="360" w:lineRule="auto"/>
        <w:ind w:left="0" w:firstLine="720"/>
        <w:jc w:val="both"/>
        <w:rPr>
          <w:lang w:val="ro-RO"/>
        </w:rPr>
      </w:pPr>
      <w:r>
        <w:rPr>
          <w:lang w:val="ro-RO"/>
        </w:rPr>
        <w:t xml:space="preserve">Dacă </w:t>
      </w:r>
      <w:r w:rsidRPr="004E00C4">
        <w:rPr>
          <w:i/>
          <w:lang w:val="ro-RO"/>
        </w:rPr>
        <w:t>de cuius</w:t>
      </w:r>
      <w:r>
        <w:rPr>
          <w:lang w:val="ro-RO"/>
        </w:rPr>
        <w:t xml:space="preserve"> a făcut liberalităţi nu numai în favoarea soţului din ultima căsătorie, ci şi altor persoane, cu prilejul reducţiunii se va avea în vedere ca liberalităţile făcute în favoarea soţului din ultima căsătorie să nu depăşească cotitatea disponibilă specială şi, împreună cu cele făcute în favoarea altor persoane, să nu depăşească cotitatea disponibilă ordinară. Prin excepţie însă se va aplica şi sancţiunea nulităţii când încălcarea cotităţii disponibile speciale s-a realizat prin donaţii deghizate sau prin persoane interpuse (adică prin acte juridice simulate)</w:t>
      </w:r>
      <w:r w:rsidR="00836B56">
        <w:rPr>
          <w:rStyle w:val="FootnoteReference"/>
          <w:lang w:val="ro-RO"/>
        </w:rPr>
        <w:footnoteReference w:id="30"/>
      </w:r>
      <w:r>
        <w:rPr>
          <w:lang w:val="ro-RO"/>
        </w:rPr>
        <w:t>, întrucât se prezumă că au fost făcute pentru fraudarea drepturilor succesorale ale copiilor defunctului din căsătoria anterioară. S-a precizat chiar că sancţiunea nulităţii operează şi în ipoteza în care, valoric, aceste acte juridice se încadrează în limita cotităţii disponibile speciale întrucât ele ar fi determinate de intenţia de fraudare</w:t>
      </w:r>
      <w:r w:rsidR="00836B56">
        <w:rPr>
          <w:rStyle w:val="FootnoteReference"/>
          <w:lang w:val="ro-RO"/>
        </w:rPr>
        <w:footnoteReference w:id="31"/>
      </w:r>
      <w:r w:rsidR="00836B56">
        <w:rPr>
          <w:lang w:val="ro-RO"/>
        </w:rPr>
        <w:t>.</w:t>
      </w:r>
    </w:p>
    <w:p w:rsidR="00836B56" w:rsidRDefault="00836B56" w:rsidP="004927A5">
      <w:pPr>
        <w:pStyle w:val="ListParagraph"/>
        <w:tabs>
          <w:tab w:val="left" w:pos="0"/>
        </w:tabs>
        <w:spacing w:after="0" w:line="360" w:lineRule="auto"/>
        <w:ind w:left="0" w:firstLine="720"/>
        <w:jc w:val="both"/>
        <w:rPr>
          <w:lang w:val="ro-RO"/>
        </w:rPr>
      </w:pPr>
      <w:r>
        <w:rPr>
          <w:lang w:val="ro-RO"/>
        </w:rPr>
        <w:t xml:space="preserve">Acţiunea în constatarea nulităţii poate fi intentată de orice descendent al defunctului care vine la moştenire, el trebuind să deovedească faptul deghizării sau interpunerii de persoană, care se poate face cu </w:t>
      </w:r>
      <w:r w:rsidR="007C6D2E">
        <w:rPr>
          <w:lang w:val="ro-RO"/>
        </w:rPr>
        <w:t>orice mijloc de probă. Întrucât o atare dovadă poate fi adesea destul de anev</w:t>
      </w:r>
      <w:r w:rsidR="00BE229C">
        <w:rPr>
          <w:lang w:val="ro-RO"/>
        </w:rPr>
        <w:t>oioasă, art. 1.033 alin. (2) C.</w:t>
      </w:r>
      <w:r w:rsidR="007C6D2E">
        <w:rPr>
          <w:lang w:val="ro-RO"/>
        </w:rPr>
        <w:t xml:space="preserve">civ. prezumă că sunt persoane interpuse, până la proba contrară, </w:t>
      </w:r>
      <w:r w:rsidR="007C6D2E" w:rsidRPr="007C6D2E">
        <w:rPr>
          <w:i/>
          <w:lang w:val="ro-RO"/>
        </w:rPr>
        <w:t>... orice rudă a donatorului la a cărui moştenire acesta ar avea vocaţie în momentul donaţiei şi care nu a rezultat din căsătoria cu donatorul</w:t>
      </w:r>
      <w:r w:rsidR="007C6D2E">
        <w:rPr>
          <w:i/>
          <w:lang w:val="ro-RO"/>
        </w:rPr>
        <w:t>.</w:t>
      </w:r>
      <w:r w:rsidR="004E00C4">
        <w:rPr>
          <w:lang w:val="ro-RO"/>
        </w:rPr>
        <w:t xml:space="preserve"> Prezumţia este una absolută (</w:t>
      </w:r>
      <w:r w:rsidR="004E00C4" w:rsidRPr="004E00C4">
        <w:rPr>
          <w:i/>
          <w:lang w:val="ro-RO"/>
        </w:rPr>
        <w:t>iuris et de iure</w:t>
      </w:r>
      <w:r w:rsidR="004E00C4">
        <w:rPr>
          <w:lang w:val="ro-RO"/>
        </w:rPr>
        <w:t>) astfel că nu poate fi combătută cu niciun mijloc de probă.</w:t>
      </w:r>
    </w:p>
    <w:p w:rsidR="004927A5" w:rsidRPr="004927A5" w:rsidRDefault="004927A5" w:rsidP="004927A5">
      <w:pPr>
        <w:tabs>
          <w:tab w:val="left" w:pos="0"/>
        </w:tabs>
        <w:spacing w:after="0" w:line="360" w:lineRule="auto"/>
        <w:jc w:val="both"/>
        <w:rPr>
          <w:lang w:val="ro-RO"/>
        </w:rPr>
      </w:pPr>
    </w:p>
    <w:p w:rsidR="003722B1" w:rsidRDefault="005A606A" w:rsidP="004927A5">
      <w:pPr>
        <w:pStyle w:val="ListParagraph"/>
        <w:tabs>
          <w:tab w:val="left" w:pos="0"/>
        </w:tabs>
        <w:spacing w:after="0" w:line="360" w:lineRule="auto"/>
        <w:ind w:left="0" w:firstLine="720"/>
        <w:jc w:val="both"/>
        <w:rPr>
          <w:lang w:val="ro-RO"/>
        </w:rPr>
      </w:pPr>
      <w:r w:rsidRPr="004927A5">
        <w:rPr>
          <w:b/>
          <w:lang w:val="ro-RO"/>
        </w:rPr>
        <w:t xml:space="preserve">VI - </w:t>
      </w:r>
      <w:r w:rsidRPr="004927A5">
        <w:rPr>
          <w:b/>
          <w:i/>
          <w:lang w:val="ro-RO"/>
        </w:rPr>
        <w:t>Sextum opponam et quaesti</w:t>
      </w:r>
      <w:r w:rsidR="003722B1" w:rsidRPr="004927A5">
        <w:rPr>
          <w:b/>
          <w:i/>
          <w:lang w:val="ro-RO"/>
        </w:rPr>
        <w:t>o</w:t>
      </w:r>
      <w:r>
        <w:rPr>
          <w:i/>
          <w:lang w:val="ro-RO"/>
        </w:rPr>
        <w:t>:</w:t>
      </w:r>
      <w:r w:rsidR="003722B1">
        <w:rPr>
          <w:lang w:val="ro-RO"/>
        </w:rPr>
        <w:t xml:space="preserve"> </w:t>
      </w:r>
      <w:r w:rsidR="004927A5">
        <w:rPr>
          <w:lang w:val="ro-RO"/>
        </w:rPr>
        <w:t>Al şaselea pas presupune cercetarea operativităţii articolului supus analizei dar şi a posibilelor obiecţiuni la raţionamentul implicat de text.</w:t>
      </w:r>
    </w:p>
    <w:p w:rsidR="003722B1" w:rsidRPr="003722B1" w:rsidRDefault="001A50A5" w:rsidP="004927A5">
      <w:pPr>
        <w:pStyle w:val="ListParagraph"/>
        <w:tabs>
          <w:tab w:val="left" w:pos="0"/>
        </w:tabs>
        <w:spacing w:after="0" w:line="360" w:lineRule="auto"/>
        <w:ind w:left="0" w:firstLine="720"/>
        <w:jc w:val="both"/>
        <w:rPr>
          <w:lang w:val="ro-RO"/>
        </w:rPr>
      </w:pPr>
      <w:r w:rsidRPr="004927A5">
        <w:rPr>
          <w:b/>
          <w:lang w:val="ro-RO"/>
        </w:rPr>
        <w:lastRenderedPageBreak/>
        <w:t>VI.1</w:t>
      </w:r>
      <w:r w:rsidR="003722B1" w:rsidRPr="004927A5">
        <w:rPr>
          <w:b/>
          <w:lang w:val="ro-RO"/>
        </w:rPr>
        <w:t xml:space="preserve"> </w:t>
      </w:r>
      <w:r w:rsidR="003722B1" w:rsidRPr="004927A5">
        <w:rPr>
          <w:b/>
          <w:i/>
          <w:lang w:val="ro-RO"/>
        </w:rPr>
        <w:t>- Pro auctoritas</w:t>
      </w:r>
      <w:r w:rsidR="003722B1">
        <w:rPr>
          <w:i/>
          <w:lang w:val="ro-RO"/>
        </w:rPr>
        <w:t xml:space="preserve">: </w:t>
      </w:r>
      <w:r w:rsidR="002A2192">
        <w:rPr>
          <w:lang w:val="ro-RO"/>
        </w:rPr>
        <w:t xml:space="preserve">Majoritatea covărşitoare a doctrinei a arătat că art. 1.090 C.civ. </w:t>
      </w:r>
      <w:r w:rsidR="00FD547E">
        <w:rPr>
          <w:lang w:val="ro-RO"/>
        </w:rPr>
        <w:t xml:space="preserve">îşi are justificarea în voinţa legiuitorului de a-i proteja pe descendenţii din altă căsătorie a defunctului de </w:t>
      </w:r>
      <w:r w:rsidR="00811E56">
        <w:rPr>
          <w:lang w:val="ro-RO"/>
        </w:rPr>
        <w:t>eventualele presiuni şi influenţe ale</w:t>
      </w:r>
      <w:r w:rsidR="00FD547E">
        <w:rPr>
          <w:lang w:val="ro-RO"/>
        </w:rPr>
        <w:t xml:space="preserve"> soţ</w:t>
      </w:r>
      <w:r w:rsidR="0065205A">
        <w:rPr>
          <w:lang w:val="ro-RO"/>
        </w:rPr>
        <w:t xml:space="preserve">ului din căsătoria subsecventă, </w:t>
      </w:r>
      <w:r w:rsidR="00FD547E">
        <w:rPr>
          <w:lang w:val="ro-RO"/>
        </w:rPr>
        <w:t>presiuni şi influenţe care îl putea</w:t>
      </w:r>
      <w:r w:rsidR="00811E56">
        <w:rPr>
          <w:lang w:val="ro-RO"/>
        </w:rPr>
        <w:t>u</w:t>
      </w:r>
      <w:r w:rsidR="00FD547E">
        <w:rPr>
          <w:lang w:val="ro-RO"/>
        </w:rPr>
        <w:t xml:space="preserve"> determina pe </w:t>
      </w:r>
      <w:r w:rsidR="00FD547E" w:rsidRPr="00E81527">
        <w:rPr>
          <w:i/>
          <w:lang w:val="ro-RO"/>
        </w:rPr>
        <w:t>de cuius</w:t>
      </w:r>
      <w:r w:rsidR="00FD547E">
        <w:rPr>
          <w:lang w:val="ro-RO"/>
        </w:rPr>
        <w:t xml:space="preserve"> să-l gratifice sau să-l instituie legatar pe soţul supravieţuitor în defavoarea descendenţilor din căsătoria anterioară</w:t>
      </w:r>
      <w:r w:rsidR="00811E56">
        <w:rPr>
          <w:lang w:val="ro-RO"/>
        </w:rPr>
        <w:t xml:space="preserve">, sau chiar să dispună prin </w:t>
      </w:r>
      <w:r w:rsidR="00F264FD">
        <w:rPr>
          <w:lang w:val="ro-RO"/>
        </w:rPr>
        <w:t>testament exheredarea acestor descendenţi, de care ar urma să beneficieze soţul din a doua căsătorie</w:t>
      </w:r>
      <w:r w:rsidR="00F264FD">
        <w:rPr>
          <w:rStyle w:val="FootnoteReference"/>
          <w:lang w:val="ro-RO"/>
        </w:rPr>
        <w:footnoteReference w:id="32"/>
      </w:r>
      <w:r w:rsidR="00FD547E">
        <w:rPr>
          <w:lang w:val="ro-RO"/>
        </w:rPr>
        <w:t>. Totoadată, s-a arătat că bunurile dobândite de soţul supravieţuitor prin liberalităţile făcute în favoarea acestuia ar fi fost definitiv pierdute pentru copii din altă căsătorie a defunctului</w:t>
      </w:r>
      <w:r w:rsidR="00FD547E">
        <w:rPr>
          <w:rStyle w:val="FootnoteReference"/>
          <w:lang w:val="ro-RO"/>
        </w:rPr>
        <w:footnoteReference w:id="33"/>
      </w:r>
      <w:r w:rsidR="00A53CE7">
        <w:rPr>
          <w:lang w:val="ro-RO"/>
        </w:rPr>
        <w:t xml:space="preserve">. </w:t>
      </w:r>
      <w:r w:rsidR="0065205A">
        <w:rPr>
          <w:lang w:val="ro-RO"/>
        </w:rPr>
        <w:t>Deoarece liberalitatea în cauza poate fi chiar consecinţ</w:t>
      </w:r>
      <w:r w:rsidR="00E754DE">
        <w:rPr>
          <w:lang w:val="ro-RO"/>
        </w:rPr>
        <w:t>a a unei anumite adversităţi faţă de</w:t>
      </w:r>
      <w:r w:rsidR="0065205A">
        <w:rPr>
          <w:lang w:val="ro-RO"/>
        </w:rPr>
        <w:t xml:space="preserve"> copilul din căsă</w:t>
      </w:r>
      <w:r w:rsidR="00E754DE">
        <w:rPr>
          <w:lang w:val="ro-RO"/>
        </w:rPr>
        <w:t xml:space="preserve">toria anterioară </w:t>
      </w:r>
      <w:r w:rsidR="0065205A">
        <w:rPr>
          <w:lang w:val="ro-RO"/>
        </w:rPr>
        <w:t xml:space="preserve">(copilul nefiind, poate de acord, cu noua legătură realizată de tatăl sau mama sa) </w:t>
      </w:r>
      <w:r w:rsidR="00E754DE">
        <w:rPr>
          <w:lang w:val="ro-RO"/>
        </w:rPr>
        <w:t>este pe deplin justificat scopul acestei instituţii</w:t>
      </w:r>
      <w:r w:rsidR="00A53CE7">
        <w:rPr>
          <w:lang w:val="ro-RO"/>
        </w:rPr>
        <w:t xml:space="preserve">, </w:t>
      </w:r>
      <w:r w:rsidR="00E754DE">
        <w:rPr>
          <w:lang w:val="ro-RO"/>
        </w:rPr>
        <w:t xml:space="preserve">adică </w:t>
      </w:r>
      <w:r w:rsidR="00A53CE7">
        <w:rPr>
          <w:lang w:val="ro-RO"/>
        </w:rPr>
        <w:t>limitarea posibilităţii defunctului de a dispune prin liberalităţi neraportabile, soţul supravieţuitor nefiind as</w:t>
      </w:r>
      <w:r w:rsidR="00E754DE">
        <w:rPr>
          <w:lang w:val="ro-RO"/>
        </w:rPr>
        <w:t>tfel un moştenitor rezervatar fa</w:t>
      </w:r>
      <w:r w:rsidR="00A53CE7">
        <w:rPr>
          <w:lang w:val="ro-RO"/>
        </w:rPr>
        <w:t>vorizat, privilegiat</w:t>
      </w:r>
      <w:r w:rsidR="00A53CE7">
        <w:rPr>
          <w:rStyle w:val="FootnoteReference"/>
          <w:lang w:val="ro-RO"/>
        </w:rPr>
        <w:footnoteReference w:id="34"/>
      </w:r>
      <w:r w:rsidR="00A53CE7">
        <w:rPr>
          <w:lang w:val="ro-RO"/>
        </w:rPr>
        <w:t>.</w:t>
      </w:r>
    </w:p>
    <w:p w:rsidR="001A50A5" w:rsidRDefault="001A50A5" w:rsidP="00A363B8">
      <w:pPr>
        <w:pStyle w:val="ListParagraph"/>
        <w:tabs>
          <w:tab w:val="left" w:pos="0"/>
        </w:tabs>
        <w:spacing w:after="0" w:line="360" w:lineRule="auto"/>
        <w:ind w:left="0" w:firstLine="720"/>
        <w:jc w:val="both"/>
        <w:rPr>
          <w:lang w:val="ro-RO"/>
        </w:rPr>
      </w:pPr>
      <w:r w:rsidRPr="000E3731">
        <w:rPr>
          <w:b/>
          <w:lang w:val="ro-RO"/>
        </w:rPr>
        <w:t xml:space="preserve">VI.2 - </w:t>
      </w:r>
      <w:r w:rsidRPr="000E3731">
        <w:rPr>
          <w:b/>
          <w:i/>
          <w:lang w:val="ro-RO"/>
        </w:rPr>
        <w:t>Contra auctoritas</w:t>
      </w:r>
      <w:r>
        <w:rPr>
          <w:lang w:val="ro-RO"/>
        </w:rPr>
        <w:t>: Unii autori au considerat reglementarea cuprinsă la art. 1.090 C.civ. drept vetustă, necorespunzătoare exigenţelor actuale</w:t>
      </w:r>
      <w:r w:rsidR="00E944C4">
        <w:rPr>
          <w:lang w:val="ro-RO"/>
        </w:rPr>
        <w:t xml:space="preserve"> şi nemaigăsindu-şi justificare</w:t>
      </w:r>
      <w:r>
        <w:rPr>
          <w:lang w:val="ro-RO"/>
        </w:rPr>
        <w:t>, deoarece copiii, indiferent de căsătoria din care provin sau chiar dacă sunt din afara căsătoriei, sunt protejaţi</w:t>
      </w:r>
      <w:r w:rsidR="0065205A">
        <w:rPr>
          <w:lang w:val="ro-RO"/>
        </w:rPr>
        <w:t xml:space="preserve"> suficient de rezerva succesorală împotriva liberalităţilor excesive făcute de părintele lor</w:t>
      </w:r>
    </w:p>
    <w:p w:rsidR="00DC2FBB" w:rsidRDefault="00E944C4" w:rsidP="00A363B8">
      <w:pPr>
        <w:pStyle w:val="ListParagraph"/>
        <w:tabs>
          <w:tab w:val="left" w:pos="0"/>
        </w:tabs>
        <w:spacing w:after="0" w:line="360" w:lineRule="auto"/>
        <w:ind w:left="0" w:firstLine="720"/>
        <w:jc w:val="both"/>
        <w:rPr>
          <w:lang w:val="ro-RO"/>
        </w:rPr>
      </w:pPr>
      <w:r>
        <w:rPr>
          <w:lang w:val="ro-RO"/>
        </w:rPr>
        <w:t xml:space="preserve">Aşadar, </w:t>
      </w:r>
      <w:r w:rsidR="00971439">
        <w:rPr>
          <w:lang w:val="ro-RO"/>
        </w:rPr>
        <w:t>dacă în ceea ce priveşte concursul soţului supravieţuitor cu până la maxim</w:t>
      </w:r>
      <w:r w:rsidR="00BE229C">
        <w:rPr>
          <w:lang w:val="ro-RO"/>
        </w:rPr>
        <w:t>um</w:t>
      </w:r>
      <w:r w:rsidR="00971439">
        <w:rPr>
          <w:lang w:val="ro-RO"/>
        </w:rPr>
        <w:t xml:space="preserve"> trei copii dintr-o căsătorie anterioară nu se ridică probleme speciale, nu acelaşi lucru îl putem spune în cazul în care acesta vine în consurs cu patru sau mai mulţi copii. Astfel, în lumina dispoziţiilor art. 1.090 alin. </w:t>
      </w:r>
      <w:r w:rsidR="00BE229C">
        <w:rPr>
          <w:lang w:val="ro-RO"/>
        </w:rPr>
        <w:t>(1) C.ci</w:t>
      </w:r>
      <w:r w:rsidR="00971439">
        <w:rPr>
          <w:lang w:val="ro-RO"/>
        </w:rPr>
        <w:t>v., soţul supravieţui</w:t>
      </w:r>
      <w:r w:rsidR="00BE229C">
        <w:rPr>
          <w:lang w:val="ro-RO"/>
        </w:rPr>
        <w:t>tor va primi cu titlu de rezervă</w:t>
      </w:r>
      <w:r w:rsidR="00971439">
        <w:rPr>
          <w:lang w:val="ro-RO"/>
        </w:rPr>
        <w:t xml:space="preserve"> şi cotitatea disponibilă specială mai puţin dec</w:t>
      </w:r>
      <w:r w:rsidR="00BE229C">
        <w:rPr>
          <w:lang w:val="ro-RO"/>
        </w:rPr>
        <w:t>ât cota de moştenire legală de 1/4</w:t>
      </w:r>
      <w:r w:rsidR="00971439">
        <w:rPr>
          <w:lang w:val="ro-RO"/>
        </w:rPr>
        <w:t xml:space="preserve"> pe care ar fi primit-o dacă nu ar fi fost gratificat. Prin urmare, în caz</w:t>
      </w:r>
      <w:r w:rsidR="00BE229C">
        <w:rPr>
          <w:lang w:val="ro-RO"/>
        </w:rPr>
        <w:t>u</w:t>
      </w:r>
      <w:r w:rsidR="00971439">
        <w:rPr>
          <w:lang w:val="ro-RO"/>
        </w:rPr>
        <w:t xml:space="preserve">l examinat, soţul supravieţuitor va primi rezerva de 1/8 </w:t>
      </w:r>
      <w:r w:rsidR="00971439">
        <w:t>+</w:t>
      </w:r>
      <w:r w:rsidR="00971439">
        <w:rPr>
          <w:lang w:val="ro-RO"/>
        </w:rPr>
        <w:t xml:space="preserve"> mai puţin de 1/8, deoarece rezerva copiilor fiind de 3/8 din moştenire şi fiind împărţită la patru sau mai </w:t>
      </w:r>
      <w:r w:rsidR="00CA425C">
        <w:rPr>
          <w:lang w:val="ro-RO"/>
        </w:rPr>
        <w:t>mulţi copii rezultă o cotă-parte mai mică de 1/8 pentru fiecare dintre aceştia, astfel încât cu titlu de cotitate disponibilă specială soţul supravieţuitor nu ar putea primi mai mult decât atât, în vreme ce restul cotităţii disponibile - de aproape jumătate din moştenire - ar putea beneficia oricine, afară de soţul supravieţuitor</w:t>
      </w:r>
      <w:r w:rsidR="0095188B">
        <w:rPr>
          <w:rStyle w:val="FootnoteReference"/>
          <w:lang w:val="ro-RO"/>
        </w:rPr>
        <w:footnoteReference w:id="35"/>
      </w:r>
      <w:r w:rsidR="00CA425C">
        <w:rPr>
          <w:lang w:val="ro-RO"/>
        </w:rPr>
        <w:t>.</w:t>
      </w:r>
      <w:r w:rsidR="00C10C81">
        <w:rPr>
          <w:lang w:val="ro-RO"/>
        </w:rPr>
        <w:t xml:space="preserve"> </w:t>
      </w:r>
      <w:r w:rsidR="00473EE4">
        <w:rPr>
          <w:lang w:val="ro-RO"/>
        </w:rPr>
        <w:t>Din perspectivă morală, juridică, etică, logică</w:t>
      </w:r>
      <w:r w:rsidR="00473EE4" w:rsidRPr="00473EE4">
        <w:rPr>
          <w:lang w:val="ro-RO"/>
        </w:rPr>
        <w:t xml:space="preserve"> etc., astazi sunt greu de justificat dispozitiile art. </w:t>
      </w:r>
      <w:r w:rsidR="00473EE4">
        <w:rPr>
          <w:lang w:val="ro-RO"/>
        </w:rPr>
        <w:t>1.090 C.civ. care lasă libertatea deplină soţului despre a cărui moş</w:t>
      </w:r>
      <w:r w:rsidR="00473EE4" w:rsidRPr="00473EE4">
        <w:rPr>
          <w:lang w:val="ro-RO"/>
        </w:rPr>
        <w:t>tenire este vo</w:t>
      </w:r>
      <w:r w:rsidR="00473EE4">
        <w:rPr>
          <w:lang w:val="ro-RO"/>
        </w:rPr>
        <w:t xml:space="preserve">rba de a dispune prin liberalităţi în favoarea oricui, afară de soţul său, de întreaga cotitate disponibilă a moştenirii, numai liberalităţile făcute </w:t>
      </w:r>
      <w:r w:rsidR="00473EE4">
        <w:rPr>
          <w:lang w:val="ro-RO"/>
        </w:rPr>
        <w:lastRenderedPageBreak/>
        <w:t>acestuia fiind încorsetate în limitele unei cotităţ</w:t>
      </w:r>
      <w:r w:rsidR="00473EE4" w:rsidRPr="00473EE4">
        <w:rPr>
          <w:lang w:val="ro-RO"/>
        </w:rPr>
        <w:t xml:space="preserve">i disponibile speciale. </w:t>
      </w:r>
      <w:r w:rsidR="00C10C81">
        <w:rPr>
          <w:lang w:val="ro-RO"/>
        </w:rPr>
        <w:t>Dacă nu ar fi căsătorit cu defunctul, soţul supravieţuitor ar putea beneficia de în</w:t>
      </w:r>
      <w:r w:rsidR="00BE229C">
        <w:rPr>
          <w:lang w:val="ro-RO"/>
        </w:rPr>
        <w:t>treaga cotitate disponibilă de 1/2</w:t>
      </w:r>
      <w:r w:rsidR="00C10C81">
        <w:rPr>
          <w:lang w:val="ro-RO"/>
        </w:rPr>
        <w:t xml:space="preserve"> din moştenire, pe când dacă este căsătorit nu poa</w:t>
      </w:r>
      <w:r w:rsidR="00BE229C">
        <w:rPr>
          <w:lang w:val="ro-RO"/>
        </w:rPr>
        <w:t>te beneficia decât de cel mult 1/4</w:t>
      </w:r>
      <w:r w:rsidR="00C10C81">
        <w:rPr>
          <w:lang w:val="ro-RO"/>
        </w:rPr>
        <w:t xml:space="preserve"> din moştenire - rezervatar fiind - ceea ce demonstreză fără dubiu caracterul inechitabil al textului de lege, fiind în contradicţie cu dispoziţiile art. 14 din Convenţia europeană a drepturilor omului</w:t>
      </w:r>
      <w:r w:rsidR="002205AA">
        <w:rPr>
          <w:rStyle w:val="FootnoteReference"/>
          <w:lang w:val="ro-RO"/>
        </w:rPr>
        <w:footnoteReference w:id="36"/>
      </w:r>
      <w:r w:rsidR="00C10C81">
        <w:rPr>
          <w:lang w:val="ro-RO"/>
        </w:rPr>
        <w:t xml:space="preserve"> care interzic discriminarea.</w:t>
      </w:r>
    </w:p>
    <w:p w:rsidR="00DF1E8D" w:rsidRDefault="00DF1E8D" w:rsidP="00DF1E8D">
      <w:pPr>
        <w:pStyle w:val="ListParagraph"/>
        <w:tabs>
          <w:tab w:val="left" w:pos="0"/>
        </w:tabs>
        <w:spacing w:after="0" w:line="360" w:lineRule="auto"/>
        <w:ind w:left="0" w:firstLine="720"/>
        <w:jc w:val="both"/>
        <w:rPr>
          <w:lang w:val="ro-RO"/>
        </w:rPr>
      </w:pPr>
      <w:r>
        <w:rPr>
          <w:lang w:val="ro-RO"/>
        </w:rPr>
        <w:t>I</w:t>
      </w:r>
      <w:r w:rsidR="0059001F">
        <w:rPr>
          <w:lang w:val="ro-RO"/>
        </w:rPr>
        <w:t>nco</w:t>
      </w:r>
      <w:r w:rsidR="00AB572A">
        <w:rPr>
          <w:lang w:val="ro-RO"/>
        </w:rPr>
        <w:t>n</w:t>
      </w:r>
      <w:r w:rsidR="0059001F">
        <w:rPr>
          <w:lang w:val="ro-RO"/>
        </w:rPr>
        <w:t xml:space="preserve">secvenţa </w:t>
      </w:r>
      <w:r w:rsidR="004C4AF5">
        <w:rPr>
          <w:lang w:val="ro-RO"/>
        </w:rPr>
        <w:t>ace</w:t>
      </w:r>
      <w:r w:rsidR="00C571A6">
        <w:rPr>
          <w:lang w:val="ro-RO"/>
        </w:rPr>
        <w:t>s</w:t>
      </w:r>
      <w:r w:rsidR="004C4AF5">
        <w:rPr>
          <w:lang w:val="ro-RO"/>
        </w:rPr>
        <w:t>tui articol</w:t>
      </w:r>
      <w:r>
        <w:rPr>
          <w:lang w:val="ro-RO"/>
        </w:rPr>
        <w:t xml:space="preserve"> este reliefată şi de</w:t>
      </w:r>
      <w:r w:rsidR="00460EBA">
        <w:rPr>
          <w:lang w:val="ro-RO"/>
        </w:rPr>
        <w:t xml:space="preserve"> consecinţa ipotezei în care </w:t>
      </w:r>
      <w:r w:rsidR="00460EBA" w:rsidRPr="00460EBA">
        <w:rPr>
          <w:i/>
          <w:lang w:val="ro-RO"/>
        </w:rPr>
        <w:t>de cuius</w:t>
      </w:r>
      <w:r w:rsidR="00460EBA">
        <w:rPr>
          <w:i/>
          <w:lang w:val="ro-RO"/>
        </w:rPr>
        <w:t xml:space="preserve"> </w:t>
      </w:r>
      <w:r w:rsidR="00460EBA">
        <w:rPr>
          <w:lang w:val="ro-RO"/>
        </w:rPr>
        <w:t>nu a dispus prin liberalităţi de diferenţa dintre cotitatea disponibilă stabilită potrivit art. 1.089 alin. (1) C.civ. şi cotitatea disponibilă specială, textul de lege statuând că de această diferenţă se vor bucura descendenţii defunctului.</w:t>
      </w:r>
      <w:r>
        <w:rPr>
          <w:lang w:val="ro-RO"/>
        </w:rPr>
        <w:t xml:space="preserve"> Ori, în ipoteza în care </w:t>
      </w:r>
      <w:r w:rsidRPr="00DF1E8D">
        <w:rPr>
          <w:i/>
          <w:lang w:val="ro-RO"/>
        </w:rPr>
        <w:t>de cuius</w:t>
      </w:r>
      <w:r>
        <w:rPr>
          <w:lang w:val="ro-RO"/>
        </w:rPr>
        <w:t xml:space="preserve"> a dezmoştenit unul dintre descendenţi, şi a instituit liberalităţi în favoarea soţului supravieţuitor, este contra voinţei acestuia, ca de restul dintre cotităţi să se bucure tot descendenţii, deci chiar şi cel dezmoştenit.</w:t>
      </w:r>
    </w:p>
    <w:p w:rsidR="00726B66" w:rsidRDefault="00726B66" w:rsidP="000E3731">
      <w:pPr>
        <w:pStyle w:val="ListParagraph"/>
        <w:tabs>
          <w:tab w:val="left" w:pos="0"/>
        </w:tabs>
        <w:spacing w:line="360" w:lineRule="auto"/>
        <w:ind w:left="0" w:firstLine="720"/>
        <w:jc w:val="both"/>
        <w:rPr>
          <w:lang w:val="ro-RO"/>
        </w:rPr>
      </w:pPr>
      <w:r>
        <w:rPr>
          <w:lang w:val="ro-RO"/>
        </w:rPr>
        <w:t>Nu în ultimul râ</w:t>
      </w:r>
      <w:r w:rsidR="00AB572A">
        <w:rPr>
          <w:lang w:val="ro-RO"/>
        </w:rPr>
        <w:t>nd, când soţul supravieţuitor vine</w:t>
      </w:r>
      <w:r>
        <w:rPr>
          <w:lang w:val="ro-RO"/>
        </w:rPr>
        <w:t xml:space="preserve"> în concurs cu descendenţii d</w:t>
      </w:r>
      <w:r w:rsidR="00AB572A">
        <w:rPr>
          <w:lang w:val="ro-RO"/>
        </w:rPr>
        <w:t>efunctului şi printre aceştia este</w:t>
      </w:r>
      <w:r>
        <w:rPr>
          <w:lang w:val="ro-RO"/>
        </w:rPr>
        <w:t xml:space="preserve"> cel puţin un descendent din altă căsă</w:t>
      </w:r>
      <w:r w:rsidR="00AB572A">
        <w:rPr>
          <w:lang w:val="ro-RO"/>
        </w:rPr>
        <w:t>torie a defunctului, se stabileşte</w:t>
      </w:r>
      <w:r>
        <w:rPr>
          <w:lang w:val="ro-RO"/>
        </w:rPr>
        <w:t xml:space="preserve"> mai în</w:t>
      </w:r>
      <w:r w:rsidR="003C5E48">
        <w:rPr>
          <w:lang w:val="ro-RO"/>
        </w:rPr>
        <w:t>t</w:t>
      </w:r>
      <w:r>
        <w:rPr>
          <w:lang w:val="ro-RO"/>
        </w:rPr>
        <w:t>âi cotitatea d</w:t>
      </w:r>
      <w:r w:rsidR="00AB572A">
        <w:rPr>
          <w:lang w:val="ro-RO"/>
        </w:rPr>
        <w:t>isponibilă specială, care se scade</w:t>
      </w:r>
      <w:r>
        <w:rPr>
          <w:lang w:val="ro-RO"/>
        </w:rPr>
        <w:t xml:space="preserve"> din cotitatea disponibi</w:t>
      </w:r>
      <w:r w:rsidR="00AB572A">
        <w:rPr>
          <w:lang w:val="ro-RO"/>
        </w:rPr>
        <w:t>lă ordinară, iar ceea ce rămâne se împ</w:t>
      </w:r>
      <w:r>
        <w:rPr>
          <w:lang w:val="ro-RO"/>
        </w:rPr>
        <w:t>a</w:t>
      </w:r>
      <w:r w:rsidR="00AB572A">
        <w:rPr>
          <w:lang w:val="ro-RO"/>
        </w:rPr>
        <w:t>rte</w:t>
      </w:r>
      <w:r>
        <w:rPr>
          <w:lang w:val="ro-RO"/>
        </w:rPr>
        <w:t xml:space="preserve"> între descenden</w:t>
      </w:r>
      <w:r w:rsidR="00AB572A">
        <w:rPr>
          <w:lang w:val="ro-RO"/>
        </w:rPr>
        <w:t xml:space="preserve">ţi potrivit regulilor generale. </w:t>
      </w:r>
      <w:r w:rsidR="003C5E48">
        <w:rPr>
          <w:lang w:val="ro-RO"/>
        </w:rPr>
        <w:t>Or, ac</w:t>
      </w:r>
      <w:r w:rsidR="00AB572A">
        <w:rPr>
          <w:lang w:val="ro-RO"/>
        </w:rPr>
        <w:t>ceptând acest mod de calcul, este</w:t>
      </w:r>
      <w:r w:rsidR="003C5E48">
        <w:rPr>
          <w:lang w:val="ro-RO"/>
        </w:rPr>
        <w:t xml:space="preserve"> posibil ca dispoziţiile art. 1.090 C.civ. </w:t>
      </w:r>
      <w:r w:rsidR="00FA396B">
        <w:rPr>
          <w:lang w:val="ro-RO"/>
        </w:rPr>
        <w:t>să protejeze drepturile soţului supravieţuitor în defavoarea descendenţilor. Astfel, dacă potrivit regulilor generale de reducţiune a liberalităţilor excesive, legatul sau donaţia făcută soţului supravieţuitor ar fi urmat să fie supuse reducţiunii în totalitate, întrucât existau donaţii cu dată mai veche făcute în favoarea descendenţilor, aplicarea art. 1.090 C.civ. ar fi condus la reducţiunea doar în parte a liberalităţilor făcute soţului supravieţuitor, respectiv în limitele art. 1.090 C.civ</w:t>
      </w:r>
      <w:r w:rsidR="00994394">
        <w:rPr>
          <w:lang w:val="ro-RO"/>
        </w:rPr>
        <w:t>., fapt care în mod evident îi dezavantajează pe descendenţi</w:t>
      </w:r>
      <w:r w:rsidR="001A15A9">
        <w:rPr>
          <w:rStyle w:val="FootnoteReference"/>
          <w:lang w:val="ro-RO"/>
        </w:rPr>
        <w:footnoteReference w:id="37"/>
      </w:r>
      <w:r w:rsidR="00994394">
        <w:rPr>
          <w:lang w:val="ro-RO"/>
        </w:rPr>
        <w:t>.</w:t>
      </w:r>
    </w:p>
    <w:p w:rsidR="000E3731" w:rsidRDefault="000E3731" w:rsidP="000E3731">
      <w:pPr>
        <w:pStyle w:val="ListParagraph"/>
        <w:tabs>
          <w:tab w:val="left" w:pos="0"/>
        </w:tabs>
        <w:spacing w:line="360" w:lineRule="auto"/>
        <w:ind w:left="0" w:firstLine="720"/>
        <w:jc w:val="both"/>
        <w:rPr>
          <w:lang w:val="ro-RO"/>
        </w:rPr>
      </w:pPr>
    </w:p>
    <w:p w:rsidR="00EC6747" w:rsidRPr="00726B66" w:rsidRDefault="00EC6747" w:rsidP="00726B66">
      <w:pPr>
        <w:pStyle w:val="ListParagraph"/>
        <w:tabs>
          <w:tab w:val="left" w:pos="0"/>
        </w:tabs>
        <w:spacing w:line="360" w:lineRule="auto"/>
        <w:ind w:left="0" w:firstLine="720"/>
        <w:jc w:val="both"/>
        <w:rPr>
          <w:lang w:val="ro-RO"/>
        </w:rPr>
      </w:pPr>
      <w:r w:rsidRPr="004927A5">
        <w:rPr>
          <w:b/>
          <w:lang w:val="ro-RO"/>
        </w:rPr>
        <w:t xml:space="preserve">VII - </w:t>
      </w:r>
      <w:r w:rsidRPr="004927A5">
        <w:rPr>
          <w:b/>
          <w:i/>
          <w:lang w:val="ro-RO"/>
        </w:rPr>
        <w:t>Septimum queram, brocardum et de lege ferenda</w:t>
      </w:r>
      <w:r>
        <w:rPr>
          <w:lang w:val="ro-RO"/>
        </w:rPr>
        <w:t>:</w:t>
      </w:r>
      <w:r w:rsidR="001A15A9">
        <w:rPr>
          <w:lang w:val="ro-RO"/>
        </w:rPr>
        <w:t xml:space="preserve"> </w:t>
      </w:r>
      <w:r w:rsidR="006F1969">
        <w:rPr>
          <w:lang w:val="ro-RO"/>
        </w:rPr>
        <w:t>Co</w:t>
      </w:r>
      <w:r w:rsidR="00AB572A">
        <w:rPr>
          <w:lang w:val="ro-RO"/>
        </w:rPr>
        <w:t>ntradicţiile semnalate mai sus î</w:t>
      </w:r>
      <w:r w:rsidR="006F1969">
        <w:rPr>
          <w:lang w:val="ro-RO"/>
        </w:rPr>
        <w:t xml:space="preserve">ntre dispoziţiile art 1.090 C.civ. şi alte dispoziţii legale impun, dacă nu abrogarea prezentului articol, atunci stabilirea unor criterii </w:t>
      </w:r>
      <w:r w:rsidR="00157467">
        <w:rPr>
          <w:lang w:val="ro-RO"/>
        </w:rPr>
        <w:t>clare şi fără posibilitate de interpretare</w:t>
      </w:r>
      <w:r w:rsidR="00EF57A4">
        <w:rPr>
          <w:lang w:val="ro-RO"/>
        </w:rPr>
        <w:t>, pe baza cărora să se poate stabili preferinţa unui text faţă de altul, respectiv aplicarea cu prioritate a art. 1.090 alin. (2) C.civ. faţă de art. 964 alin. (2) C.civ.</w:t>
      </w:r>
      <w:r w:rsidR="00EF57A4">
        <w:rPr>
          <w:rStyle w:val="FootnoteReference"/>
          <w:lang w:val="ro-RO"/>
        </w:rPr>
        <w:footnoteReference w:id="38"/>
      </w:r>
      <w:r w:rsidR="00EF57A4">
        <w:rPr>
          <w:lang w:val="ro-RO"/>
        </w:rPr>
        <w:t xml:space="preserve"> sau vice versa. Mai exact, în lipsă de legatari care să culeagă diferenţa dintre </w:t>
      </w:r>
      <w:r w:rsidR="00EF57A4">
        <w:rPr>
          <w:lang w:val="ro-RO"/>
        </w:rPr>
        <w:lastRenderedPageBreak/>
        <w:t>cotitatea disponibilă ordinară şi cotitatea disponibilă specială, vor avea prioritate fie descendenţii defunctului, aşa cum se statuează în art. 1.090 alin. (2) C.civ., fie rudele din clasa subsecventă, conform art. 964 alin. (2) C.civ.</w:t>
      </w:r>
    </w:p>
    <w:sectPr w:rsidR="00EC6747" w:rsidRPr="00726B66" w:rsidSect="00E01379">
      <w:footerReference w:type="default" r:id="rId7"/>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5E8" w:rsidRDefault="00D905E8" w:rsidP="00401DC2">
      <w:pPr>
        <w:spacing w:after="0" w:line="240" w:lineRule="auto"/>
      </w:pPr>
      <w:r>
        <w:separator/>
      </w:r>
    </w:p>
  </w:endnote>
  <w:endnote w:type="continuationSeparator" w:id="0">
    <w:p w:rsidR="00D905E8" w:rsidRDefault="00D905E8" w:rsidP="00401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6269"/>
      <w:docPartObj>
        <w:docPartGallery w:val="Page Numbers (Bottom of Page)"/>
        <w:docPartUnique/>
      </w:docPartObj>
    </w:sdtPr>
    <w:sdtContent>
      <w:p w:rsidR="00726B66" w:rsidRDefault="00CF2ED2" w:rsidP="00E01379">
        <w:pPr>
          <w:pStyle w:val="Footer"/>
          <w:jc w:val="center"/>
        </w:pPr>
        <w:fldSimple w:instr=" PAGE   \* MERGEFORMAT ">
          <w:r w:rsidR="00857081">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5E8" w:rsidRDefault="00D905E8" w:rsidP="00401DC2">
      <w:pPr>
        <w:spacing w:after="0" w:line="240" w:lineRule="auto"/>
      </w:pPr>
      <w:r>
        <w:separator/>
      </w:r>
    </w:p>
  </w:footnote>
  <w:footnote w:type="continuationSeparator" w:id="0">
    <w:p w:rsidR="00D905E8" w:rsidRDefault="00D905E8" w:rsidP="00401DC2">
      <w:pPr>
        <w:spacing w:after="0" w:line="240" w:lineRule="auto"/>
      </w:pPr>
      <w:r>
        <w:continuationSeparator/>
      </w:r>
    </w:p>
  </w:footnote>
  <w:footnote w:id="1">
    <w:p w:rsidR="00E01379" w:rsidRPr="004A7467" w:rsidRDefault="00E01379" w:rsidP="00FC4FEA">
      <w:pPr>
        <w:pStyle w:val="FootnoteText"/>
        <w:jc w:val="both"/>
        <w:rPr>
          <w:lang w:val="ro-RO"/>
        </w:rPr>
      </w:pPr>
      <w:r>
        <w:rPr>
          <w:rStyle w:val="FootnoteReference"/>
        </w:rPr>
        <w:footnoteRef/>
      </w:r>
      <w:r>
        <w:t xml:space="preserve"> </w:t>
      </w:r>
      <w:r>
        <w:rPr>
          <w:lang w:val="ro-RO"/>
        </w:rPr>
        <w:t xml:space="preserve">V. M. Ciucă, C. Macovei, S. Panainte (coord.), </w:t>
      </w:r>
      <w:r w:rsidRPr="004A7467">
        <w:rPr>
          <w:i/>
          <w:lang w:val="ro-RO"/>
        </w:rPr>
        <w:t>Şcoala dreptului organic</w:t>
      </w:r>
      <w:r>
        <w:rPr>
          <w:lang w:val="ro-RO"/>
        </w:rPr>
        <w:t>, Vol. I, Ed. Junimea, Iaşi, 2007, p. 12-18.</w:t>
      </w:r>
    </w:p>
  </w:footnote>
  <w:footnote w:id="2">
    <w:p w:rsidR="00726B66" w:rsidRPr="003E430D" w:rsidRDefault="00726B66" w:rsidP="00FC4FEA">
      <w:pPr>
        <w:pStyle w:val="FootnoteText"/>
        <w:jc w:val="both"/>
        <w:rPr>
          <w:lang w:val="ro-RO"/>
        </w:rPr>
      </w:pPr>
      <w:r>
        <w:rPr>
          <w:rStyle w:val="FootnoteReference"/>
        </w:rPr>
        <w:footnoteRef/>
      </w:r>
      <w:r>
        <w:t xml:space="preserve"> </w:t>
      </w:r>
      <w:proofErr w:type="spellStart"/>
      <w:r>
        <w:t>Pentru</w:t>
      </w:r>
      <w:proofErr w:type="spellEnd"/>
      <w:r>
        <w:t xml:space="preserve"> </w:t>
      </w:r>
      <w:proofErr w:type="spellStart"/>
      <w:r>
        <w:t>amănunte</w:t>
      </w:r>
      <w:proofErr w:type="spellEnd"/>
      <w:r>
        <w:t xml:space="preserve">, </w:t>
      </w:r>
      <w:r w:rsidR="002E05EA" w:rsidRPr="002E05EA">
        <w:t xml:space="preserve">D. </w:t>
      </w:r>
      <w:proofErr w:type="spellStart"/>
      <w:r w:rsidR="002E05EA" w:rsidRPr="002E05EA">
        <w:t>Alexandresco</w:t>
      </w:r>
      <w:proofErr w:type="spellEnd"/>
      <w:r w:rsidR="002E05EA" w:rsidRPr="002E05EA">
        <w:t xml:space="preserve">, </w:t>
      </w:r>
      <w:proofErr w:type="spellStart"/>
      <w:r w:rsidR="002E05EA" w:rsidRPr="002E05EA">
        <w:rPr>
          <w:i/>
        </w:rPr>
        <w:t>Explicaţiunea</w:t>
      </w:r>
      <w:proofErr w:type="spellEnd"/>
      <w:r w:rsidR="002E05EA" w:rsidRPr="002E05EA">
        <w:rPr>
          <w:i/>
        </w:rPr>
        <w:t xml:space="preserve"> </w:t>
      </w:r>
      <w:proofErr w:type="spellStart"/>
      <w:r w:rsidR="002E05EA" w:rsidRPr="002E05EA">
        <w:rPr>
          <w:i/>
        </w:rPr>
        <w:t>teoretică</w:t>
      </w:r>
      <w:proofErr w:type="spellEnd"/>
      <w:r w:rsidR="002E05EA" w:rsidRPr="002E05EA">
        <w:rPr>
          <w:i/>
        </w:rPr>
        <w:t xml:space="preserve"> </w:t>
      </w:r>
      <w:proofErr w:type="spellStart"/>
      <w:r w:rsidR="002E05EA" w:rsidRPr="002E05EA">
        <w:rPr>
          <w:i/>
        </w:rPr>
        <w:t>şi</w:t>
      </w:r>
      <w:proofErr w:type="spellEnd"/>
      <w:r w:rsidR="002E05EA" w:rsidRPr="002E05EA">
        <w:rPr>
          <w:i/>
        </w:rPr>
        <w:t xml:space="preserve"> </w:t>
      </w:r>
      <w:proofErr w:type="spellStart"/>
      <w:r w:rsidR="002E05EA" w:rsidRPr="002E05EA">
        <w:rPr>
          <w:i/>
        </w:rPr>
        <w:t>practică</w:t>
      </w:r>
      <w:proofErr w:type="spellEnd"/>
      <w:r w:rsidR="002E05EA" w:rsidRPr="002E05EA">
        <w:rPr>
          <w:i/>
        </w:rPr>
        <w:t xml:space="preserve"> a </w:t>
      </w:r>
      <w:proofErr w:type="spellStart"/>
      <w:r w:rsidR="002E05EA" w:rsidRPr="002E05EA">
        <w:rPr>
          <w:i/>
        </w:rPr>
        <w:t>dreptului</w:t>
      </w:r>
      <w:proofErr w:type="spellEnd"/>
      <w:r w:rsidR="002E05EA" w:rsidRPr="002E05EA">
        <w:rPr>
          <w:i/>
        </w:rPr>
        <w:t xml:space="preserve"> civil </w:t>
      </w:r>
      <w:proofErr w:type="spellStart"/>
      <w:r w:rsidR="002E05EA" w:rsidRPr="002E05EA">
        <w:rPr>
          <w:i/>
        </w:rPr>
        <w:t>român</w:t>
      </w:r>
      <w:proofErr w:type="spellEnd"/>
      <w:r w:rsidR="002E05EA" w:rsidRPr="002E05EA">
        <w:t xml:space="preserve">, vol. VIII, </w:t>
      </w:r>
      <w:proofErr w:type="spellStart"/>
      <w:r w:rsidR="002E05EA" w:rsidRPr="002E05EA">
        <w:t>partea</w:t>
      </w:r>
      <w:proofErr w:type="spellEnd"/>
      <w:r w:rsidR="002E05EA" w:rsidRPr="002E05EA">
        <w:t xml:space="preserve"> I, </w:t>
      </w:r>
      <w:proofErr w:type="spellStart"/>
      <w:r w:rsidR="002E05EA" w:rsidRPr="002E05EA">
        <w:t>Atelierele</w:t>
      </w:r>
      <w:proofErr w:type="spellEnd"/>
      <w:r w:rsidR="002E05EA" w:rsidRPr="002E05EA">
        <w:t xml:space="preserve"> </w:t>
      </w:r>
      <w:proofErr w:type="spellStart"/>
      <w:r w:rsidR="002E05EA" w:rsidRPr="002E05EA">
        <w:t>Gr</w:t>
      </w:r>
      <w:r w:rsidR="002E05EA">
        <w:t>afice</w:t>
      </w:r>
      <w:proofErr w:type="spellEnd"/>
      <w:r w:rsidR="002E05EA">
        <w:t xml:space="preserve"> </w:t>
      </w:r>
      <w:proofErr w:type="spellStart"/>
      <w:r w:rsidR="002E05EA">
        <w:t>Socec</w:t>
      </w:r>
      <w:proofErr w:type="spellEnd"/>
      <w:r w:rsidR="002E05EA">
        <w:t xml:space="preserve">/Co, </w:t>
      </w:r>
      <w:proofErr w:type="spellStart"/>
      <w:r w:rsidR="002E05EA">
        <w:t>Bucureşti</w:t>
      </w:r>
      <w:proofErr w:type="spellEnd"/>
      <w:r w:rsidR="002E05EA">
        <w:t>, 1916</w:t>
      </w:r>
      <w:r>
        <w:t>, p. 750-751.</w:t>
      </w:r>
    </w:p>
  </w:footnote>
  <w:footnote w:id="3">
    <w:p w:rsidR="00726B66" w:rsidRPr="0063139F" w:rsidRDefault="00726B66" w:rsidP="00FC4FEA">
      <w:pPr>
        <w:pStyle w:val="FootnoteText"/>
        <w:jc w:val="both"/>
        <w:rPr>
          <w:lang w:val="ro-RO"/>
        </w:rPr>
      </w:pPr>
      <w:r>
        <w:rPr>
          <w:rStyle w:val="FootnoteReference"/>
        </w:rPr>
        <w:footnoteRef/>
      </w:r>
      <w:r>
        <w:t xml:space="preserve"> </w:t>
      </w:r>
      <w:r w:rsidR="00E46D19" w:rsidRPr="00E46D19">
        <w:t xml:space="preserve">Fr. </w:t>
      </w:r>
      <w:proofErr w:type="spellStart"/>
      <w:r w:rsidR="00E46D19" w:rsidRPr="00E46D19">
        <w:t>Deak</w:t>
      </w:r>
      <w:proofErr w:type="spellEnd"/>
      <w:r w:rsidR="00E46D19" w:rsidRPr="00E46D19">
        <w:t xml:space="preserve">, R. </w:t>
      </w:r>
      <w:proofErr w:type="spellStart"/>
      <w:r w:rsidR="00E46D19" w:rsidRPr="00E46D19">
        <w:t>Popescu</w:t>
      </w:r>
      <w:proofErr w:type="spellEnd"/>
      <w:r w:rsidR="00E46D19" w:rsidRPr="00E46D19">
        <w:t xml:space="preserve">, </w:t>
      </w:r>
      <w:proofErr w:type="spellStart"/>
      <w:r w:rsidR="00E46D19" w:rsidRPr="00E46D19">
        <w:rPr>
          <w:i/>
        </w:rPr>
        <w:t>Tratat</w:t>
      </w:r>
      <w:proofErr w:type="spellEnd"/>
      <w:r w:rsidR="00E46D19" w:rsidRPr="00E46D19">
        <w:rPr>
          <w:i/>
        </w:rPr>
        <w:t xml:space="preserve"> de </w:t>
      </w:r>
      <w:proofErr w:type="spellStart"/>
      <w:r w:rsidR="00E46D19" w:rsidRPr="00E46D19">
        <w:rPr>
          <w:i/>
        </w:rPr>
        <w:t>Drept</w:t>
      </w:r>
      <w:proofErr w:type="spellEnd"/>
      <w:r w:rsidR="00E46D19" w:rsidRPr="00E46D19">
        <w:rPr>
          <w:i/>
        </w:rPr>
        <w:t xml:space="preserve"> </w:t>
      </w:r>
      <w:proofErr w:type="spellStart"/>
      <w:r w:rsidR="00E46D19" w:rsidRPr="00E46D19">
        <w:rPr>
          <w:i/>
        </w:rPr>
        <w:t>Succesoral</w:t>
      </w:r>
      <w:proofErr w:type="spellEnd"/>
      <w:r w:rsidR="00E46D19" w:rsidRPr="00E46D19">
        <w:t xml:space="preserve">, vol. II, </w:t>
      </w:r>
      <w:proofErr w:type="spellStart"/>
      <w:r w:rsidR="00E46D19" w:rsidRPr="00E46D19">
        <w:t>Ediţia</w:t>
      </w:r>
      <w:proofErr w:type="spellEnd"/>
      <w:r w:rsidR="00E46D19" w:rsidRPr="00E46D19">
        <w:t xml:space="preserve"> a III-a </w:t>
      </w:r>
      <w:proofErr w:type="spellStart"/>
      <w:r w:rsidR="00E46D19" w:rsidRPr="00E46D19">
        <w:t>actualizată</w:t>
      </w:r>
      <w:proofErr w:type="spellEnd"/>
      <w:r w:rsidR="00E46D19" w:rsidRPr="00E46D19">
        <w:t xml:space="preserve"> </w:t>
      </w:r>
      <w:proofErr w:type="spellStart"/>
      <w:r w:rsidR="00E46D19" w:rsidRPr="00E46D19">
        <w:t>şi</w:t>
      </w:r>
      <w:proofErr w:type="spellEnd"/>
      <w:r w:rsidR="00E46D19" w:rsidRPr="00E46D19">
        <w:t xml:space="preserve"> </w:t>
      </w:r>
      <w:proofErr w:type="spellStart"/>
      <w:r w:rsidR="00E46D19" w:rsidRPr="00E46D19">
        <w:t>completată</w:t>
      </w:r>
      <w:proofErr w:type="spellEnd"/>
      <w:r w:rsidR="00E46D19" w:rsidRPr="00E46D19">
        <w:t xml:space="preserve"> , Ed. </w:t>
      </w:r>
      <w:proofErr w:type="spellStart"/>
      <w:r w:rsidR="00E46D19" w:rsidRPr="00E46D19">
        <w:t>Universul</w:t>
      </w:r>
      <w:proofErr w:type="spellEnd"/>
      <w:r w:rsidR="00E46D19" w:rsidRPr="00E46D19">
        <w:t xml:space="preserve"> </w:t>
      </w:r>
      <w:proofErr w:type="spellStart"/>
      <w:r w:rsidR="00E46D19" w:rsidRPr="00E46D19">
        <w:t>Juridic</w:t>
      </w:r>
      <w:proofErr w:type="spellEnd"/>
      <w:r w:rsidR="00E46D19" w:rsidRPr="00E46D19">
        <w:t xml:space="preserve">, </w:t>
      </w:r>
      <w:proofErr w:type="spellStart"/>
      <w:r w:rsidR="00E46D19" w:rsidRPr="00E46D19">
        <w:t>Bucureşti</w:t>
      </w:r>
      <w:proofErr w:type="spellEnd"/>
      <w:r w:rsidR="00E46D19" w:rsidRPr="00E46D19">
        <w:t>, 2014</w:t>
      </w:r>
      <w:r w:rsidR="00E46D19">
        <w:t xml:space="preserve">, </w:t>
      </w:r>
      <w:r>
        <w:t>p. 276.</w:t>
      </w:r>
    </w:p>
  </w:footnote>
  <w:footnote w:id="4">
    <w:p w:rsidR="00726B66" w:rsidRPr="00AC4E06" w:rsidRDefault="00726B66" w:rsidP="00FC4FEA">
      <w:pPr>
        <w:pStyle w:val="FootnoteText"/>
        <w:jc w:val="both"/>
        <w:rPr>
          <w:lang w:val="ro-RO"/>
        </w:rPr>
      </w:pPr>
      <w:r>
        <w:rPr>
          <w:rStyle w:val="FootnoteReference"/>
        </w:rPr>
        <w:footnoteRef/>
      </w:r>
      <w:r>
        <w:t xml:space="preserve"> </w:t>
      </w:r>
      <w:proofErr w:type="spellStart"/>
      <w:r>
        <w:t>Cunoscut</w:t>
      </w:r>
      <w:proofErr w:type="spellEnd"/>
      <w:r>
        <w:t xml:space="preserve"> sub </w:t>
      </w:r>
      <w:proofErr w:type="spellStart"/>
      <w:r>
        <w:t>numele</w:t>
      </w:r>
      <w:proofErr w:type="spellEnd"/>
      <w:r>
        <w:t xml:space="preserve"> de </w:t>
      </w:r>
      <w:proofErr w:type="spellStart"/>
      <w:r>
        <w:t>Edictul</w:t>
      </w:r>
      <w:proofErr w:type="spellEnd"/>
      <w:r>
        <w:t xml:space="preserve"> </w:t>
      </w:r>
      <w:proofErr w:type="spellStart"/>
      <w:r>
        <w:t>lui</w:t>
      </w:r>
      <w:proofErr w:type="spellEnd"/>
      <w:r>
        <w:t xml:space="preserve"> </w:t>
      </w:r>
      <w:proofErr w:type="spellStart"/>
      <w:r>
        <w:t>Francisc</w:t>
      </w:r>
      <w:proofErr w:type="spellEnd"/>
      <w:r>
        <w:t xml:space="preserve"> al II-lea </w:t>
      </w:r>
      <w:proofErr w:type="spellStart"/>
      <w:r>
        <w:t>sau</w:t>
      </w:r>
      <w:proofErr w:type="spellEnd"/>
      <w:r>
        <w:t xml:space="preserve"> </w:t>
      </w:r>
      <w:proofErr w:type="spellStart"/>
      <w:r w:rsidRPr="004F680C">
        <w:rPr>
          <w:i/>
        </w:rPr>
        <w:t>Edictul</w:t>
      </w:r>
      <w:proofErr w:type="spellEnd"/>
      <w:r w:rsidRPr="004F680C">
        <w:rPr>
          <w:i/>
        </w:rPr>
        <w:t xml:space="preserve"> </w:t>
      </w:r>
      <w:proofErr w:type="spellStart"/>
      <w:r w:rsidRPr="004F680C">
        <w:rPr>
          <w:i/>
        </w:rPr>
        <w:t>celei</w:t>
      </w:r>
      <w:proofErr w:type="spellEnd"/>
      <w:r w:rsidRPr="004F680C">
        <w:rPr>
          <w:i/>
        </w:rPr>
        <w:t xml:space="preserve"> de-a </w:t>
      </w:r>
      <w:proofErr w:type="spellStart"/>
      <w:r w:rsidRPr="004F680C">
        <w:rPr>
          <w:i/>
        </w:rPr>
        <w:t>doua</w:t>
      </w:r>
      <w:proofErr w:type="spellEnd"/>
      <w:r w:rsidRPr="004F680C">
        <w:rPr>
          <w:i/>
        </w:rPr>
        <w:t xml:space="preserve"> </w:t>
      </w:r>
      <w:proofErr w:type="spellStart"/>
      <w:r w:rsidRPr="004F680C">
        <w:rPr>
          <w:i/>
        </w:rPr>
        <w:t>căsătorii</w:t>
      </w:r>
      <w:proofErr w:type="spellEnd"/>
      <w:r>
        <w:t xml:space="preserve"> (</w:t>
      </w:r>
      <w:proofErr w:type="spellStart"/>
      <w:r w:rsidRPr="004F680C">
        <w:rPr>
          <w:i/>
        </w:rPr>
        <w:t>L’edit</w:t>
      </w:r>
      <w:proofErr w:type="spellEnd"/>
      <w:r w:rsidRPr="004F680C">
        <w:rPr>
          <w:i/>
        </w:rPr>
        <w:t xml:space="preserve"> de seconds </w:t>
      </w:r>
      <w:proofErr w:type="spellStart"/>
      <w:r w:rsidRPr="004F680C">
        <w:rPr>
          <w:i/>
        </w:rPr>
        <w:t>noces</w:t>
      </w:r>
      <w:proofErr w:type="spellEnd"/>
      <w:r>
        <w:t>).</w:t>
      </w:r>
    </w:p>
  </w:footnote>
  <w:footnote w:id="5">
    <w:p w:rsidR="004927A5" w:rsidRPr="004927A5" w:rsidRDefault="004927A5" w:rsidP="00FC4FEA">
      <w:pPr>
        <w:pStyle w:val="FootnoteText"/>
        <w:jc w:val="both"/>
        <w:rPr>
          <w:i/>
        </w:rPr>
      </w:pPr>
      <w:r w:rsidRPr="004927A5">
        <w:footnoteRef/>
      </w:r>
      <w:r>
        <w:t xml:space="preserve"> </w:t>
      </w:r>
      <w:proofErr w:type="spellStart"/>
      <w:r w:rsidRPr="004927A5">
        <w:rPr>
          <w:i/>
        </w:rPr>
        <w:t>Dacă</w:t>
      </w:r>
      <w:proofErr w:type="spellEnd"/>
      <w:r w:rsidRPr="004927A5">
        <w:rPr>
          <w:i/>
        </w:rPr>
        <w:t xml:space="preserve"> un </w:t>
      </w:r>
      <w:proofErr w:type="spellStart"/>
      <w:r w:rsidRPr="004927A5">
        <w:rPr>
          <w:i/>
        </w:rPr>
        <w:t>soţ</w:t>
      </w:r>
      <w:proofErr w:type="spellEnd"/>
      <w:r w:rsidRPr="004927A5">
        <w:rPr>
          <w:i/>
        </w:rPr>
        <w:t xml:space="preserve"> s-a </w:t>
      </w:r>
      <w:proofErr w:type="spellStart"/>
      <w:r w:rsidRPr="004927A5">
        <w:rPr>
          <w:i/>
        </w:rPr>
        <w:t>recăsătorit</w:t>
      </w:r>
      <w:proofErr w:type="spellEnd"/>
      <w:r w:rsidRPr="004927A5">
        <w:rPr>
          <w:i/>
        </w:rPr>
        <w:t xml:space="preserve"> </w:t>
      </w:r>
      <w:proofErr w:type="spellStart"/>
      <w:r w:rsidRPr="004927A5">
        <w:rPr>
          <w:i/>
        </w:rPr>
        <w:t>şi</w:t>
      </w:r>
      <w:proofErr w:type="spellEnd"/>
      <w:r w:rsidRPr="004927A5">
        <w:rPr>
          <w:i/>
        </w:rPr>
        <w:t xml:space="preserve"> </w:t>
      </w:r>
      <w:proofErr w:type="spellStart"/>
      <w:r w:rsidRPr="004927A5">
        <w:rPr>
          <w:i/>
        </w:rPr>
        <w:t>i</w:t>
      </w:r>
      <w:proofErr w:type="spellEnd"/>
      <w:r w:rsidRPr="004927A5">
        <w:rPr>
          <w:i/>
        </w:rPr>
        <w:t xml:space="preserve">-a </w:t>
      </w:r>
      <w:proofErr w:type="spellStart"/>
      <w:r w:rsidRPr="004927A5">
        <w:rPr>
          <w:i/>
        </w:rPr>
        <w:t>făcut</w:t>
      </w:r>
      <w:proofErr w:type="spellEnd"/>
      <w:r w:rsidRPr="004927A5">
        <w:rPr>
          <w:i/>
        </w:rPr>
        <w:t xml:space="preserve"> </w:t>
      </w:r>
      <w:proofErr w:type="spellStart"/>
      <w:r w:rsidRPr="004927A5">
        <w:rPr>
          <w:i/>
        </w:rPr>
        <w:t>celui</w:t>
      </w:r>
      <w:proofErr w:type="spellEnd"/>
      <w:r w:rsidRPr="004927A5">
        <w:rPr>
          <w:i/>
        </w:rPr>
        <w:t xml:space="preserve"> de-al </w:t>
      </w:r>
      <w:proofErr w:type="spellStart"/>
      <w:r w:rsidRPr="004927A5">
        <w:rPr>
          <w:i/>
        </w:rPr>
        <w:t>doilea</w:t>
      </w:r>
      <w:proofErr w:type="spellEnd"/>
      <w:r w:rsidRPr="004927A5">
        <w:rPr>
          <w:i/>
        </w:rPr>
        <w:t xml:space="preserve"> </w:t>
      </w:r>
      <w:proofErr w:type="spellStart"/>
      <w:r w:rsidRPr="004927A5">
        <w:rPr>
          <w:i/>
        </w:rPr>
        <w:t>partener</w:t>
      </w:r>
      <w:proofErr w:type="spellEnd"/>
      <w:r w:rsidRPr="004927A5">
        <w:rPr>
          <w:i/>
        </w:rPr>
        <w:t xml:space="preserve">, </w:t>
      </w:r>
      <w:proofErr w:type="spellStart"/>
      <w:r w:rsidRPr="004927A5">
        <w:rPr>
          <w:i/>
        </w:rPr>
        <w:t>în</w:t>
      </w:r>
      <w:proofErr w:type="spellEnd"/>
      <w:r w:rsidRPr="004927A5">
        <w:rPr>
          <w:i/>
        </w:rPr>
        <w:t xml:space="preserve"> </w:t>
      </w:r>
      <w:proofErr w:type="spellStart"/>
      <w:r w:rsidRPr="004927A5">
        <w:rPr>
          <w:i/>
        </w:rPr>
        <w:t>limitele</w:t>
      </w:r>
      <w:proofErr w:type="spellEnd"/>
      <w:r w:rsidRPr="004927A5">
        <w:rPr>
          <w:i/>
        </w:rPr>
        <w:t xml:space="preserve"> </w:t>
      </w:r>
      <w:proofErr w:type="spellStart"/>
      <w:r w:rsidRPr="004927A5">
        <w:rPr>
          <w:i/>
        </w:rPr>
        <w:t>articolului</w:t>
      </w:r>
      <w:proofErr w:type="spellEnd"/>
      <w:r w:rsidRPr="004927A5">
        <w:rPr>
          <w:i/>
        </w:rPr>
        <w:t xml:space="preserve"> 1094-1, o </w:t>
      </w:r>
      <w:proofErr w:type="spellStart"/>
      <w:r w:rsidRPr="004927A5">
        <w:rPr>
          <w:i/>
        </w:rPr>
        <w:t>liberalitate</w:t>
      </w:r>
      <w:proofErr w:type="spellEnd"/>
      <w:r w:rsidRPr="004927A5">
        <w:rPr>
          <w:i/>
        </w:rPr>
        <w:t xml:space="preserve"> </w:t>
      </w:r>
      <w:proofErr w:type="spellStart"/>
      <w:r w:rsidRPr="004927A5">
        <w:rPr>
          <w:i/>
        </w:rPr>
        <w:t>în</w:t>
      </w:r>
      <w:proofErr w:type="spellEnd"/>
      <w:r w:rsidRPr="004927A5">
        <w:rPr>
          <w:i/>
        </w:rPr>
        <w:t xml:space="preserve"> </w:t>
      </w:r>
      <w:proofErr w:type="spellStart"/>
      <w:r w:rsidRPr="004927A5">
        <w:rPr>
          <w:i/>
        </w:rPr>
        <w:t>deplină</w:t>
      </w:r>
      <w:proofErr w:type="spellEnd"/>
      <w:r w:rsidRPr="004927A5">
        <w:rPr>
          <w:i/>
        </w:rPr>
        <w:t xml:space="preserve"> </w:t>
      </w:r>
      <w:proofErr w:type="spellStart"/>
      <w:r w:rsidRPr="004927A5">
        <w:rPr>
          <w:i/>
        </w:rPr>
        <w:t>proprietate</w:t>
      </w:r>
      <w:proofErr w:type="spellEnd"/>
      <w:r w:rsidRPr="004927A5">
        <w:rPr>
          <w:i/>
        </w:rPr>
        <w:t xml:space="preserve">, </w:t>
      </w:r>
      <w:proofErr w:type="spellStart"/>
      <w:r w:rsidRPr="004927A5">
        <w:rPr>
          <w:i/>
        </w:rPr>
        <w:t>fiecare</w:t>
      </w:r>
      <w:proofErr w:type="spellEnd"/>
      <w:r w:rsidRPr="004927A5">
        <w:rPr>
          <w:i/>
        </w:rPr>
        <w:t xml:space="preserve"> </w:t>
      </w:r>
      <w:proofErr w:type="spellStart"/>
      <w:r w:rsidRPr="004927A5">
        <w:rPr>
          <w:i/>
        </w:rPr>
        <w:t>dintre</w:t>
      </w:r>
      <w:proofErr w:type="spellEnd"/>
      <w:r w:rsidRPr="004927A5">
        <w:rPr>
          <w:i/>
        </w:rPr>
        <w:t xml:space="preserve"> </w:t>
      </w:r>
      <w:proofErr w:type="spellStart"/>
      <w:r w:rsidRPr="004927A5">
        <w:rPr>
          <w:i/>
        </w:rPr>
        <w:t>copiii</w:t>
      </w:r>
      <w:proofErr w:type="spellEnd"/>
      <w:r w:rsidRPr="004927A5">
        <w:rPr>
          <w:i/>
        </w:rPr>
        <w:t xml:space="preserve"> din prima </w:t>
      </w:r>
      <w:proofErr w:type="spellStart"/>
      <w:r w:rsidRPr="004927A5">
        <w:rPr>
          <w:i/>
        </w:rPr>
        <w:t>căsătoria</w:t>
      </w:r>
      <w:proofErr w:type="spellEnd"/>
      <w:r w:rsidRPr="004927A5">
        <w:rPr>
          <w:i/>
        </w:rPr>
        <w:t xml:space="preserve"> </w:t>
      </w:r>
      <w:proofErr w:type="spellStart"/>
      <w:r w:rsidRPr="004927A5">
        <w:rPr>
          <w:i/>
        </w:rPr>
        <w:t>va</w:t>
      </w:r>
      <w:proofErr w:type="spellEnd"/>
      <w:r w:rsidRPr="004927A5">
        <w:rPr>
          <w:i/>
        </w:rPr>
        <w:t xml:space="preserve"> </w:t>
      </w:r>
      <w:proofErr w:type="spellStart"/>
      <w:r w:rsidRPr="004927A5">
        <w:rPr>
          <w:i/>
        </w:rPr>
        <w:t>avea</w:t>
      </w:r>
      <w:proofErr w:type="spellEnd"/>
      <w:r w:rsidRPr="004927A5">
        <w:rPr>
          <w:i/>
        </w:rPr>
        <w:t xml:space="preserve">, </w:t>
      </w:r>
      <w:proofErr w:type="spellStart"/>
      <w:r w:rsidRPr="004927A5">
        <w:rPr>
          <w:i/>
        </w:rPr>
        <w:t>în</w:t>
      </w:r>
      <w:proofErr w:type="spellEnd"/>
      <w:r w:rsidRPr="004927A5">
        <w:rPr>
          <w:i/>
        </w:rPr>
        <w:t xml:space="preserve"> </w:t>
      </w:r>
      <w:proofErr w:type="spellStart"/>
      <w:r w:rsidRPr="004927A5">
        <w:rPr>
          <w:i/>
        </w:rPr>
        <w:t>ceea</w:t>
      </w:r>
      <w:proofErr w:type="spellEnd"/>
      <w:r w:rsidRPr="004927A5">
        <w:rPr>
          <w:i/>
        </w:rPr>
        <w:t xml:space="preserve"> </w:t>
      </w:r>
      <w:proofErr w:type="spellStart"/>
      <w:r w:rsidRPr="004927A5">
        <w:rPr>
          <w:i/>
        </w:rPr>
        <w:t>ce</w:t>
      </w:r>
      <w:proofErr w:type="spellEnd"/>
      <w:r w:rsidRPr="004927A5">
        <w:rPr>
          <w:i/>
        </w:rPr>
        <w:t xml:space="preserve"> </w:t>
      </w:r>
      <w:proofErr w:type="spellStart"/>
      <w:r w:rsidRPr="004927A5">
        <w:rPr>
          <w:i/>
        </w:rPr>
        <w:t>îi</w:t>
      </w:r>
      <w:proofErr w:type="spellEnd"/>
      <w:r w:rsidRPr="004927A5">
        <w:rPr>
          <w:i/>
        </w:rPr>
        <w:t xml:space="preserve"> </w:t>
      </w:r>
      <w:proofErr w:type="spellStart"/>
      <w:r w:rsidRPr="004927A5">
        <w:rPr>
          <w:i/>
        </w:rPr>
        <w:t>priveşte</w:t>
      </w:r>
      <w:proofErr w:type="spellEnd"/>
      <w:r w:rsidRPr="004927A5">
        <w:rPr>
          <w:i/>
        </w:rPr>
        <w:t xml:space="preserve"> </w:t>
      </w:r>
      <w:proofErr w:type="spellStart"/>
      <w:r w:rsidRPr="004927A5">
        <w:rPr>
          <w:i/>
        </w:rPr>
        <w:t>şi</w:t>
      </w:r>
      <w:proofErr w:type="spellEnd"/>
      <w:r w:rsidRPr="004927A5">
        <w:rPr>
          <w:i/>
        </w:rPr>
        <w:t xml:space="preserve"> </w:t>
      </w:r>
      <w:proofErr w:type="spellStart"/>
      <w:r w:rsidRPr="004927A5">
        <w:rPr>
          <w:i/>
        </w:rPr>
        <w:t>dacă</w:t>
      </w:r>
      <w:proofErr w:type="spellEnd"/>
      <w:r w:rsidRPr="004927A5">
        <w:rPr>
          <w:i/>
        </w:rPr>
        <w:t xml:space="preserve"> nu s-a </w:t>
      </w:r>
      <w:proofErr w:type="spellStart"/>
      <w:r w:rsidRPr="004927A5">
        <w:rPr>
          <w:i/>
        </w:rPr>
        <w:t>exprimat</w:t>
      </w:r>
      <w:proofErr w:type="spellEnd"/>
      <w:r w:rsidRPr="004927A5">
        <w:rPr>
          <w:i/>
        </w:rPr>
        <w:t xml:space="preserve"> </w:t>
      </w:r>
      <w:proofErr w:type="spellStart"/>
      <w:r w:rsidRPr="004927A5">
        <w:rPr>
          <w:i/>
        </w:rPr>
        <w:t>dorinţa</w:t>
      </w:r>
      <w:proofErr w:type="spellEnd"/>
      <w:r w:rsidRPr="004927A5">
        <w:rPr>
          <w:i/>
        </w:rPr>
        <w:t xml:space="preserve"> </w:t>
      </w:r>
      <w:proofErr w:type="spellStart"/>
      <w:r w:rsidRPr="004927A5">
        <w:rPr>
          <w:i/>
        </w:rPr>
        <w:t>contrară</w:t>
      </w:r>
      <w:proofErr w:type="spellEnd"/>
      <w:r w:rsidRPr="004927A5">
        <w:rPr>
          <w:i/>
        </w:rPr>
        <w:t xml:space="preserve"> </w:t>
      </w:r>
      <w:proofErr w:type="spellStart"/>
      <w:r w:rsidR="00E37843">
        <w:rPr>
          <w:i/>
        </w:rPr>
        <w:t>şi</w:t>
      </w:r>
      <w:proofErr w:type="spellEnd"/>
      <w:r w:rsidR="00E37843">
        <w:rPr>
          <w:i/>
        </w:rPr>
        <w:t xml:space="preserve"> </w:t>
      </w:r>
      <w:proofErr w:type="spellStart"/>
      <w:r w:rsidR="00E37843">
        <w:rPr>
          <w:i/>
        </w:rPr>
        <w:t>neechivocă</w:t>
      </w:r>
      <w:proofErr w:type="spellEnd"/>
      <w:r w:rsidR="00E37843">
        <w:rPr>
          <w:i/>
        </w:rPr>
        <w:t xml:space="preserve"> a </w:t>
      </w:r>
      <w:proofErr w:type="spellStart"/>
      <w:r w:rsidR="00E37843">
        <w:rPr>
          <w:i/>
        </w:rPr>
        <w:t>dispunătorului</w:t>
      </w:r>
      <w:proofErr w:type="spellEnd"/>
      <w:r w:rsidRPr="004927A5">
        <w:rPr>
          <w:i/>
        </w:rPr>
        <w:t xml:space="preserve">, </w:t>
      </w:r>
      <w:proofErr w:type="spellStart"/>
      <w:r w:rsidRPr="004927A5">
        <w:rPr>
          <w:i/>
        </w:rPr>
        <w:t>dreptul</w:t>
      </w:r>
      <w:proofErr w:type="spellEnd"/>
      <w:r w:rsidRPr="004927A5">
        <w:rPr>
          <w:i/>
        </w:rPr>
        <w:t xml:space="preserve"> de a </w:t>
      </w:r>
      <w:proofErr w:type="spellStart"/>
      <w:r w:rsidRPr="004927A5">
        <w:rPr>
          <w:i/>
        </w:rPr>
        <w:t>înlocui</w:t>
      </w:r>
      <w:proofErr w:type="spellEnd"/>
      <w:r w:rsidRPr="004927A5">
        <w:rPr>
          <w:i/>
        </w:rPr>
        <w:t xml:space="preserve"> </w:t>
      </w:r>
      <w:proofErr w:type="spellStart"/>
      <w:r w:rsidRPr="004927A5">
        <w:rPr>
          <w:i/>
        </w:rPr>
        <w:t>executarea</w:t>
      </w:r>
      <w:proofErr w:type="spellEnd"/>
      <w:r w:rsidRPr="004927A5">
        <w:rPr>
          <w:i/>
        </w:rPr>
        <w:t xml:space="preserve"> </w:t>
      </w:r>
      <w:proofErr w:type="spellStart"/>
      <w:r w:rsidRPr="004927A5">
        <w:rPr>
          <w:i/>
        </w:rPr>
        <w:t>acestei</w:t>
      </w:r>
      <w:proofErr w:type="spellEnd"/>
      <w:r w:rsidRPr="004927A5">
        <w:rPr>
          <w:i/>
        </w:rPr>
        <w:t xml:space="preserve"> </w:t>
      </w:r>
      <w:proofErr w:type="spellStart"/>
      <w:r w:rsidRPr="004927A5">
        <w:rPr>
          <w:i/>
        </w:rPr>
        <w:t>liberalităţi</w:t>
      </w:r>
      <w:proofErr w:type="spellEnd"/>
      <w:r w:rsidRPr="004927A5">
        <w:rPr>
          <w:i/>
        </w:rPr>
        <w:t xml:space="preserve"> cu </w:t>
      </w:r>
      <w:proofErr w:type="spellStart"/>
      <w:r w:rsidRPr="004927A5">
        <w:rPr>
          <w:i/>
        </w:rPr>
        <w:t>abandonul</w:t>
      </w:r>
      <w:proofErr w:type="spellEnd"/>
      <w:r w:rsidRPr="004927A5">
        <w:rPr>
          <w:i/>
        </w:rPr>
        <w:t xml:space="preserve"> </w:t>
      </w:r>
      <w:proofErr w:type="spellStart"/>
      <w:r w:rsidRPr="004927A5">
        <w:rPr>
          <w:i/>
        </w:rPr>
        <w:t>uzufructului</w:t>
      </w:r>
      <w:proofErr w:type="spellEnd"/>
      <w:r w:rsidRPr="004927A5">
        <w:rPr>
          <w:i/>
        </w:rPr>
        <w:t xml:space="preserve"> </w:t>
      </w:r>
      <w:proofErr w:type="spellStart"/>
      <w:r w:rsidRPr="004927A5">
        <w:rPr>
          <w:i/>
        </w:rPr>
        <w:t>corespunzător</w:t>
      </w:r>
      <w:proofErr w:type="spellEnd"/>
      <w:r w:rsidRPr="004927A5">
        <w:rPr>
          <w:i/>
        </w:rPr>
        <w:t xml:space="preserve"> </w:t>
      </w:r>
      <w:proofErr w:type="spellStart"/>
      <w:r w:rsidRPr="004927A5">
        <w:rPr>
          <w:i/>
        </w:rPr>
        <w:t>părţii</w:t>
      </w:r>
      <w:proofErr w:type="spellEnd"/>
      <w:r w:rsidRPr="004927A5">
        <w:rPr>
          <w:i/>
        </w:rPr>
        <w:t xml:space="preserve"> </w:t>
      </w:r>
      <w:proofErr w:type="spellStart"/>
      <w:r w:rsidRPr="004927A5">
        <w:rPr>
          <w:i/>
        </w:rPr>
        <w:t>succesiunii</w:t>
      </w:r>
      <w:proofErr w:type="spellEnd"/>
      <w:r w:rsidRPr="004927A5">
        <w:rPr>
          <w:i/>
        </w:rPr>
        <w:t xml:space="preserve"> la care </w:t>
      </w:r>
      <w:proofErr w:type="spellStart"/>
      <w:r w:rsidRPr="004927A5">
        <w:rPr>
          <w:i/>
        </w:rPr>
        <w:t>ar</w:t>
      </w:r>
      <w:proofErr w:type="spellEnd"/>
      <w:r w:rsidRPr="004927A5">
        <w:rPr>
          <w:i/>
        </w:rPr>
        <w:t xml:space="preserve"> </w:t>
      </w:r>
      <w:proofErr w:type="spellStart"/>
      <w:r w:rsidRPr="004927A5">
        <w:rPr>
          <w:i/>
        </w:rPr>
        <w:t>fi</w:t>
      </w:r>
      <w:proofErr w:type="spellEnd"/>
      <w:r w:rsidRPr="004927A5">
        <w:rPr>
          <w:i/>
        </w:rPr>
        <w:t xml:space="preserve"> </w:t>
      </w:r>
      <w:proofErr w:type="spellStart"/>
      <w:r w:rsidRPr="004927A5">
        <w:rPr>
          <w:i/>
        </w:rPr>
        <w:t>fost</w:t>
      </w:r>
      <w:proofErr w:type="spellEnd"/>
      <w:r w:rsidRPr="004927A5">
        <w:rPr>
          <w:i/>
        </w:rPr>
        <w:t xml:space="preserve"> </w:t>
      </w:r>
      <w:proofErr w:type="spellStart"/>
      <w:r w:rsidRPr="004927A5">
        <w:rPr>
          <w:i/>
        </w:rPr>
        <w:t>îndreptăţit</w:t>
      </w:r>
      <w:proofErr w:type="spellEnd"/>
      <w:r w:rsidRPr="004927A5">
        <w:rPr>
          <w:i/>
        </w:rPr>
        <w:t xml:space="preserve"> </w:t>
      </w:r>
      <w:proofErr w:type="spellStart"/>
      <w:r w:rsidRPr="004927A5">
        <w:rPr>
          <w:i/>
        </w:rPr>
        <w:t>în</w:t>
      </w:r>
      <w:proofErr w:type="spellEnd"/>
      <w:r w:rsidRPr="004927A5">
        <w:rPr>
          <w:i/>
        </w:rPr>
        <w:t xml:space="preserve"> </w:t>
      </w:r>
      <w:proofErr w:type="spellStart"/>
      <w:r w:rsidRPr="004927A5">
        <w:rPr>
          <w:i/>
        </w:rPr>
        <w:t>absenţa</w:t>
      </w:r>
      <w:proofErr w:type="spellEnd"/>
      <w:r w:rsidRPr="004927A5">
        <w:rPr>
          <w:i/>
        </w:rPr>
        <w:t xml:space="preserve"> </w:t>
      </w:r>
      <w:proofErr w:type="spellStart"/>
      <w:r w:rsidRPr="004927A5">
        <w:rPr>
          <w:i/>
        </w:rPr>
        <w:t>soţului</w:t>
      </w:r>
      <w:proofErr w:type="spellEnd"/>
      <w:r w:rsidRPr="004927A5">
        <w:rPr>
          <w:i/>
        </w:rPr>
        <w:t xml:space="preserve"> </w:t>
      </w:r>
      <w:proofErr w:type="spellStart"/>
      <w:r w:rsidRPr="004927A5">
        <w:rPr>
          <w:i/>
        </w:rPr>
        <w:t>supravieţuitor</w:t>
      </w:r>
      <w:proofErr w:type="spellEnd"/>
      <w:r w:rsidRPr="004927A5">
        <w:rPr>
          <w:i/>
        </w:rPr>
        <w:t>.</w:t>
      </w:r>
    </w:p>
  </w:footnote>
  <w:footnote w:id="6">
    <w:p w:rsidR="00726B66" w:rsidRPr="00054D6F" w:rsidRDefault="00726B66" w:rsidP="00FC4FEA">
      <w:pPr>
        <w:pStyle w:val="FootnoteText"/>
        <w:jc w:val="both"/>
        <w:rPr>
          <w:lang w:val="ro-RO"/>
        </w:rPr>
      </w:pPr>
      <w:r>
        <w:rPr>
          <w:rStyle w:val="FootnoteReference"/>
        </w:rPr>
        <w:footnoteRef/>
      </w:r>
      <w:r>
        <w:t xml:space="preserve">A se </w:t>
      </w:r>
      <w:proofErr w:type="spellStart"/>
      <w:r>
        <w:t>vedea</w:t>
      </w:r>
      <w:proofErr w:type="spellEnd"/>
      <w:r>
        <w:t xml:space="preserve">, </w:t>
      </w:r>
      <w:hyperlink r:id="rId1" w:history="1">
        <w:r w:rsidRPr="00054D6F">
          <w:rPr>
            <w:rStyle w:val="Hyperlink"/>
          </w:rPr>
          <w:t>http://www.legifrance.gouv.fr</w:t>
        </w:r>
      </w:hyperlink>
    </w:p>
  </w:footnote>
  <w:footnote w:id="7">
    <w:p w:rsidR="00726B66" w:rsidRPr="00B72372" w:rsidRDefault="00726B66" w:rsidP="00FC4FEA">
      <w:pPr>
        <w:pStyle w:val="FootnoteText"/>
        <w:jc w:val="both"/>
        <w:rPr>
          <w:lang w:val="ro-RO"/>
        </w:rPr>
      </w:pPr>
      <w:r>
        <w:rPr>
          <w:rStyle w:val="FootnoteReference"/>
        </w:rPr>
        <w:footnoteRef/>
      </w:r>
      <w:r>
        <w:t xml:space="preserve"> </w:t>
      </w:r>
      <w:proofErr w:type="spellStart"/>
      <w:r>
        <w:t>Pentru</w:t>
      </w:r>
      <w:proofErr w:type="spellEnd"/>
      <w:r>
        <w:t xml:space="preserve"> </w:t>
      </w:r>
      <w:proofErr w:type="spellStart"/>
      <w:r>
        <w:t>controversele</w:t>
      </w:r>
      <w:proofErr w:type="spellEnd"/>
      <w:r>
        <w:t xml:space="preserve"> </w:t>
      </w:r>
      <w:proofErr w:type="spellStart"/>
      <w:r>
        <w:t>existente</w:t>
      </w:r>
      <w:proofErr w:type="spellEnd"/>
      <w:r>
        <w:t xml:space="preserve"> sub </w:t>
      </w:r>
      <w:proofErr w:type="spellStart"/>
      <w:r>
        <w:t>imperiul</w:t>
      </w:r>
      <w:proofErr w:type="spellEnd"/>
      <w:r>
        <w:t xml:space="preserve"> </w:t>
      </w:r>
      <w:proofErr w:type="spellStart"/>
      <w:r>
        <w:t>Codului</w:t>
      </w:r>
      <w:proofErr w:type="spellEnd"/>
      <w:r>
        <w:t xml:space="preserve"> civil de la 1864 </w:t>
      </w:r>
      <w:proofErr w:type="spellStart"/>
      <w:r>
        <w:t>privind</w:t>
      </w:r>
      <w:proofErr w:type="spellEnd"/>
      <w:r>
        <w:t xml:space="preserve"> </w:t>
      </w:r>
      <w:proofErr w:type="spellStart"/>
      <w:r>
        <w:t>aplicarea</w:t>
      </w:r>
      <w:proofErr w:type="spellEnd"/>
      <w:r>
        <w:t xml:space="preserve"> </w:t>
      </w:r>
      <w:proofErr w:type="spellStart"/>
      <w:r>
        <w:t>acestor</w:t>
      </w:r>
      <w:proofErr w:type="spellEnd"/>
      <w:r>
        <w:t xml:space="preserve"> </w:t>
      </w:r>
      <w:proofErr w:type="spellStart"/>
      <w:r>
        <w:t>prevederi</w:t>
      </w:r>
      <w:proofErr w:type="spellEnd"/>
      <w:r>
        <w:t xml:space="preserve"> </w:t>
      </w:r>
      <w:proofErr w:type="spellStart"/>
      <w:r>
        <w:t>legale</w:t>
      </w:r>
      <w:proofErr w:type="spellEnd"/>
      <w:r>
        <w:t xml:space="preserve">, a se </w:t>
      </w:r>
      <w:proofErr w:type="spellStart"/>
      <w:r>
        <w:t>vedea</w:t>
      </w:r>
      <w:proofErr w:type="spellEnd"/>
      <w:r w:rsidR="00E46D19" w:rsidRPr="00E46D19">
        <w:t xml:space="preserve"> Fr. </w:t>
      </w:r>
      <w:proofErr w:type="spellStart"/>
      <w:r w:rsidR="00E46D19" w:rsidRPr="00E46D19">
        <w:t>Deak</w:t>
      </w:r>
      <w:proofErr w:type="spellEnd"/>
      <w:r w:rsidR="00E46D19" w:rsidRPr="00E46D19">
        <w:t xml:space="preserve">, </w:t>
      </w:r>
      <w:proofErr w:type="spellStart"/>
      <w:r w:rsidR="00E46D19" w:rsidRPr="00E37843">
        <w:rPr>
          <w:i/>
        </w:rPr>
        <w:t>Tratat</w:t>
      </w:r>
      <w:proofErr w:type="spellEnd"/>
      <w:r w:rsidR="00E46D19" w:rsidRPr="00E37843">
        <w:rPr>
          <w:i/>
        </w:rPr>
        <w:t xml:space="preserve"> de </w:t>
      </w:r>
      <w:proofErr w:type="spellStart"/>
      <w:r w:rsidR="00E46D19" w:rsidRPr="00E37843">
        <w:rPr>
          <w:i/>
        </w:rPr>
        <w:t>drept</w:t>
      </w:r>
      <w:proofErr w:type="spellEnd"/>
      <w:r w:rsidR="00E46D19" w:rsidRPr="00E37843">
        <w:rPr>
          <w:i/>
        </w:rPr>
        <w:t xml:space="preserve"> </w:t>
      </w:r>
      <w:proofErr w:type="spellStart"/>
      <w:r w:rsidR="00E46D19" w:rsidRPr="00E37843">
        <w:rPr>
          <w:i/>
        </w:rPr>
        <w:t>succesoral</w:t>
      </w:r>
      <w:proofErr w:type="spellEnd"/>
      <w:r w:rsidR="00E46D19" w:rsidRPr="00E46D19">
        <w:t xml:space="preserve">, </w:t>
      </w:r>
      <w:proofErr w:type="spellStart"/>
      <w:r w:rsidR="00E46D19" w:rsidRPr="00E46D19">
        <w:t>Ediţia</w:t>
      </w:r>
      <w:proofErr w:type="spellEnd"/>
      <w:r w:rsidR="00E46D19" w:rsidRPr="00E46D19">
        <w:t xml:space="preserve"> a II-a, Ed. </w:t>
      </w:r>
      <w:proofErr w:type="spellStart"/>
      <w:r w:rsidR="00E46D19" w:rsidRPr="00E46D19">
        <w:t>Universul</w:t>
      </w:r>
      <w:proofErr w:type="spellEnd"/>
      <w:r w:rsidR="00E46D19" w:rsidRPr="00E46D19">
        <w:t xml:space="preserve"> </w:t>
      </w:r>
      <w:proofErr w:type="spellStart"/>
      <w:r w:rsidR="00E46D19" w:rsidRPr="00E46D19">
        <w:t>Juridic</w:t>
      </w:r>
      <w:proofErr w:type="spellEnd"/>
      <w:r w:rsidR="00E46D19" w:rsidRPr="00E46D19">
        <w:t xml:space="preserve">, </w:t>
      </w:r>
      <w:proofErr w:type="spellStart"/>
      <w:r w:rsidR="00E46D19" w:rsidRPr="00E46D19">
        <w:t>Bucureşti</w:t>
      </w:r>
      <w:proofErr w:type="spellEnd"/>
      <w:r w:rsidR="00E46D19" w:rsidRPr="00E46D19">
        <w:t>, 2002</w:t>
      </w:r>
      <w:r>
        <w:t xml:space="preserve">, p. 320-329, </w:t>
      </w:r>
      <w:proofErr w:type="spellStart"/>
      <w:r>
        <w:t>precum</w:t>
      </w:r>
      <w:proofErr w:type="spellEnd"/>
      <w:r>
        <w:t xml:space="preserve"> </w:t>
      </w:r>
      <w:proofErr w:type="spellStart"/>
      <w:r>
        <w:t>şi</w:t>
      </w:r>
      <w:proofErr w:type="spellEnd"/>
      <w:r>
        <w:t xml:space="preserve"> </w:t>
      </w:r>
      <w:proofErr w:type="spellStart"/>
      <w:r>
        <w:t>doctrina</w:t>
      </w:r>
      <w:proofErr w:type="spellEnd"/>
      <w:r>
        <w:t xml:space="preserve"> </w:t>
      </w:r>
      <w:proofErr w:type="spellStart"/>
      <w:r>
        <w:t>şi</w:t>
      </w:r>
      <w:proofErr w:type="spellEnd"/>
      <w:r>
        <w:t xml:space="preserve"> </w:t>
      </w:r>
      <w:proofErr w:type="spellStart"/>
      <w:r>
        <w:t>jurisprudenţa</w:t>
      </w:r>
      <w:proofErr w:type="spellEnd"/>
      <w:r>
        <w:t xml:space="preserve"> </w:t>
      </w:r>
      <w:proofErr w:type="spellStart"/>
      <w:r>
        <w:t>acolo</w:t>
      </w:r>
      <w:proofErr w:type="spellEnd"/>
      <w:r>
        <w:t xml:space="preserve"> </w:t>
      </w:r>
      <w:proofErr w:type="spellStart"/>
      <w:r>
        <w:t>citate</w:t>
      </w:r>
      <w:proofErr w:type="spellEnd"/>
      <w:r>
        <w:t>.</w:t>
      </w:r>
    </w:p>
  </w:footnote>
  <w:footnote w:id="8">
    <w:p w:rsidR="00726B66" w:rsidRPr="00B829BD" w:rsidRDefault="00726B66" w:rsidP="00FC4FEA">
      <w:pPr>
        <w:pStyle w:val="FootnoteText"/>
        <w:jc w:val="both"/>
        <w:rPr>
          <w:lang w:val="ro-RO"/>
        </w:rPr>
      </w:pPr>
      <w:r>
        <w:rPr>
          <w:rStyle w:val="FootnoteReference"/>
        </w:rPr>
        <w:footnoteRef/>
      </w:r>
      <w:r>
        <w:t xml:space="preserve"> </w:t>
      </w:r>
      <w:r>
        <w:rPr>
          <w:lang w:val="ro-RO"/>
        </w:rPr>
        <w:t>Chiar şi în ipoteza în care căsătoria a fost declarată nulă sau anulată.</w:t>
      </w:r>
    </w:p>
  </w:footnote>
  <w:footnote w:id="9">
    <w:p w:rsidR="00726B66" w:rsidRPr="00B829BD" w:rsidRDefault="00726B66" w:rsidP="00FC4FEA">
      <w:pPr>
        <w:pStyle w:val="FootnoteText"/>
        <w:jc w:val="both"/>
        <w:rPr>
          <w:lang w:val="ro-RO"/>
        </w:rPr>
      </w:pPr>
      <w:r>
        <w:rPr>
          <w:rStyle w:val="FootnoteReference"/>
        </w:rPr>
        <w:footnoteRef/>
      </w:r>
      <w:r>
        <w:t xml:space="preserve"> </w:t>
      </w:r>
      <w:r>
        <w:rPr>
          <w:lang w:val="ro-RO"/>
        </w:rPr>
        <w:t xml:space="preserve">A se vedea, C. Bîrsan, </w:t>
      </w:r>
      <w:r w:rsidRPr="00B829BD">
        <w:rPr>
          <w:i/>
          <w:lang w:val="ro-RO"/>
        </w:rPr>
        <w:t>Convenţia europeană a drepturilor omului. Comentariu pe articole. Vol. I. Drepturi şi libertăţi</w:t>
      </w:r>
      <w:r>
        <w:rPr>
          <w:lang w:val="ro-RO"/>
        </w:rPr>
        <w:t>, Ed. All Beck, Bucureşti, 2005, p. 646, în privinţa interzicerii tratamentului discriminatoriu aplicabil copiilor aceleiaşi persoane, pe motiv că unii sunt născuţi din căsătorie, iar alţii sunt născuţi din afara acesteia.</w:t>
      </w:r>
    </w:p>
  </w:footnote>
  <w:footnote w:id="10">
    <w:p w:rsidR="00726B66" w:rsidRPr="00333EF8" w:rsidRDefault="00726B66" w:rsidP="00FC4FEA">
      <w:pPr>
        <w:pStyle w:val="FootnoteText"/>
        <w:jc w:val="both"/>
        <w:rPr>
          <w:lang w:val="ro-RO"/>
        </w:rPr>
      </w:pPr>
      <w:r>
        <w:rPr>
          <w:rStyle w:val="FootnoteReference"/>
        </w:rPr>
        <w:footnoteRef/>
      </w:r>
      <w:r>
        <w:t xml:space="preserve"> </w:t>
      </w:r>
      <w:r>
        <w:rPr>
          <w:lang w:val="ro-RO"/>
        </w:rPr>
        <w:t>Această soluţie se impune deoarece, în concurs cu soţul supravieţuitor gratificat, partea ce i se cuvine descendenţilor se va împărţi între toţi copiii, fără a deosebi după cum sunt din căsătoria anterioară sau din cea subsecventă.</w:t>
      </w:r>
    </w:p>
  </w:footnote>
  <w:footnote w:id="11">
    <w:p w:rsidR="00726B66" w:rsidRPr="009C61E0" w:rsidRDefault="00726B66" w:rsidP="00FC4FEA">
      <w:pPr>
        <w:pStyle w:val="FootnoteText"/>
        <w:jc w:val="both"/>
        <w:rPr>
          <w:lang w:val="ro-RO"/>
        </w:rPr>
      </w:pPr>
      <w:r>
        <w:rPr>
          <w:rStyle w:val="FootnoteReference"/>
        </w:rPr>
        <w:footnoteRef/>
      </w:r>
      <w:r>
        <w:t xml:space="preserve"> </w:t>
      </w:r>
      <w:r>
        <w:rPr>
          <w:lang w:val="ro-RO"/>
        </w:rPr>
        <w:t xml:space="preserve">Dacă donaţia este supusă raportului, urmează a fi readusă, în natură sau prin echivalent, la moştenire şi deci reprezintă doar un avans la moştenire, </w:t>
      </w:r>
      <w:r w:rsidR="00C35E76" w:rsidRPr="00C35E76">
        <w:rPr>
          <w:lang w:val="ro-RO"/>
        </w:rPr>
        <w:t xml:space="preserve">D. Chirică, </w:t>
      </w:r>
      <w:r w:rsidR="00C35E76" w:rsidRPr="00DA1BBF">
        <w:rPr>
          <w:i/>
          <w:lang w:val="ro-RO"/>
        </w:rPr>
        <w:t>Tratat de drept civil. Succesiuni și liberalități</w:t>
      </w:r>
      <w:r w:rsidR="00C35E76" w:rsidRPr="00C35E76">
        <w:rPr>
          <w:lang w:val="ro-RO"/>
        </w:rPr>
        <w:t>, Ed. C. H. Beck, București, 2014</w:t>
      </w:r>
      <w:r w:rsidR="00C35E76">
        <w:rPr>
          <w:lang w:val="ro-RO"/>
        </w:rPr>
        <w:t>, p. 406.</w:t>
      </w:r>
    </w:p>
  </w:footnote>
  <w:footnote w:id="12">
    <w:p w:rsidR="00726B66" w:rsidRPr="006477B3" w:rsidRDefault="00726B66" w:rsidP="00FC4FEA">
      <w:pPr>
        <w:pStyle w:val="FootnoteText"/>
        <w:jc w:val="both"/>
        <w:rPr>
          <w:lang w:val="ro-RO"/>
        </w:rPr>
      </w:pPr>
      <w:r>
        <w:rPr>
          <w:rStyle w:val="FootnoteReference"/>
        </w:rPr>
        <w:footnoteRef/>
      </w:r>
      <w:r>
        <w:t xml:space="preserve"> </w:t>
      </w:r>
      <w:r>
        <w:rPr>
          <w:lang w:val="ro-RO"/>
        </w:rPr>
        <w:t>Dacă descendenţii nu vor reuşi să facă dovada în privinţa acestei donaţii, soţul supravieţuitor va fi tratat ca un terţ oarecare ce a fost gratificat de către defunct, această donaţie putând fi imputată asupra cotităţii disponibile ordinare în întregul său, iar nu doar asupra cotităţii disponibile speciale.</w:t>
      </w:r>
    </w:p>
  </w:footnote>
  <w:footnote w:id="13">
    <w:p w:rsidR="00726B66" w:rsidRPr="006477B3" w:rsidRDefault="00726B66" w:rsidP="00FC4FEA">
      <w:pPr>
        <w:pStyle w:val="FootnoteText"/>
        <w:jc w:val="both"/>
        <w:rPr>
          <w:lang w:val="ro-RO"/>
        </w:rPr>
      </w:pPr>
      <w:r>
        <w:rPr>
          <w:rStyle w:val="FootnoteReference"/>
        </w:rPr>
        <w:footnoteRef/>
      </w:r>
      <w:r>
        <w:t xml:space="preserve"> </w:t>
      </w:r>
      <w:r>
        <w:rPr>
          <w:lang w:val="ro-RO"/>
        </w:rPr>
        <w:t>TS, s. civ., dec. nr. 2143 din 27 septembrie 1984, în C.D. 1984, p. 89-91.</w:t>
      </w:r>
    </w:p>
  </w:footnote>
  <w:footnote w:id="14">
    <w:p w:rsidR="00726B66" w:rsidRPr="00BD3D06" w:rsidRDefault="00726B66" w:rsidP="00FC4FEA">
      <w:pPr>
        <w:pStyle w:val="FootnoteText"/>
        <w:jc w:val="both"/>
        <w:rPr>
          <w:lang w:val="ro-RO"/>
        </w:rPr>
      </w:pPr>
      <w:r>
        <w:rPr>
          <w:rStyle w:val="FootnoteReference"/>
        </w:rPr>
        <w:footnoteRef/>
      </w:r>
      <w:r>
        <w:t xml:space="preserve"> </w:t>
      </w:r>
      <w:r>
        <w:rPr>
          <w:lang w:val="ro-RO"/>
        </w:rPr>
        <w:t>O aplicare restrictivă a textului numai în cazul testamentului cu dată ulterioară încheierii căsătoriei, ar putea duce la situaţia în care testatorul ar putea paraliza aplicarea art. 1.090 C.civ. printr-un testament olograf antedatat.</w:t>
      </w:r>
    </w:p>
  </w:footnote>
  <w:footnote w:id="15">
    <w:p w:rsidR="00726B66" w:rsidRPr="00747AC2" w:rsidRDefault="00726B66" w:rsidP="00FC4FEA">
      <w:pPr>
        <w:pStyle w:val="FootnoteText"/>
        <w:jc w:val="both"/>
        <w:rPr>
          <w:lang w:val="ro-RO"/>
        </w:rPr>
      </w:pPr>
      <w:r>
        <w:rPr>
          <w:rStyle w:val="FootnoteReference"/>
        </w:rPr>
        <w:footnoteRef/>
      </w:r>
      <w:r w:rsidR="003466FD" w:rsidRPr="003466FD">
        <w:rPr>
          <w:lang w:val="ro-RO"/>
        </w:rPr>
        <w:t>M. Eliescu</w:t>
      </w:r>
      <w:r w:rsidR="003466FD" w:rsidRPr="003466FD">
        <w:rPr>
          <w:i/>
          <w:lang w:val="ro-RO"/>
        </w:rPr>
        <w:t xml:space="preserve">, Moștenirea și devoluțiunea ei în dreptul RSR, Ed. </w:t>
      </w:r>
      <w:r w:rsidR="003466FD" w:rsidRPr="003466FD">
        <w:rPr>
          <w:lang w:val="ro-RO"/>
        </w:rPr>
        <w:t>Academiei, București, 1966</w:t>
      </w:r>
      <w:r>
        <w:rPr>
          <w:i/>
          <w:lang w:val="ro-RO"/>
        </w:rPr>
        <w:t>,</w:t>
      </w:r>
      <w:r>
        <w:rPr>
          <w:lang w:val="ro-RO"/>
        </w:rPr>
        <w:t xml:space="preserve"> p. 338-339, I. Popa, </w:t>
      </w:r>
      <w:r w:rsidRPr="009F0889">
        <w:rPr>
          <w:i/>
          <w:lang w:val="ro-RO"/>
        </w:rPr>
        <w:t>Drept civil. Moşteniri şi liberalităţi</w:t>
      </w:r>
      <w:r>
        <w:rPr>
          <w:lang w:val="ro-RO"/>
        </w:rPr>
        <w:t>, Ed. Universul Juridic, Bucureşti, 2013, p. 134-135.</w:t>
      </w:r>
    </w:p>
  </w:footnote>
  <w:footnote w:id="16">
    <w:p w:rsidR="00726B66" w:rsidRPr="009F0889" w:rsidRDefault="00726B66" w:rsidP="00FC4FEA">
      <w:pPr>
        <w:pStyle w:val="FootnoteText"/>
        <w:jc w:val="both"/>
        <w:rPr>
          <w:lang w:val="ro-RO"/>
        </w:rPr>
      </w:pPr>
      <w:r>
        <w:rPr>
          <w:rStyle w:val="FootnoteReference"/>
        </w:rPr>
        <w:footnoteRef/>
      </w:r>
      <w:r>
        <w:t xml:space="preserve"> </w:t>
      </w:r>
      <w:r>
        <w:rPr>
          <w:lang w:val="ro-RO"/>
        </w:rPr>
        <w:t>Acest sistem de calcul conduce la situaţia inadmisibilă că uneori cotitatea disponibilă specială este mai mare decât cotitatea disponibilă ordinară.</w:t>
      </w:r>
    </w:p>
  </w:footnote>
  <w:footnote w:id="17">
    <w:p w:rsidR="00726B66" w:rsidRPr="00C147FD" w:rsidRDefault="00726B66" w:rsidP="00FC4FEA">
      <w:pPr>
        <w:pStyle w:val="FootnoteText"/>
        <w:jc w:val="both"/>
        <w:rPr>
          <w:lang w:val="ro-RO"/>
        </w:rPr>
      </w:pPr>
      <w:r>
        <w:rPr>
          <w:rStyle w:val="FootnoteReference"/>
        </w:rPr>
        <w:footnoteRef/>
      </w:r>
      <w:r>
        <w:t xml:space="preserve"> </w:t>
      </w:r>
      <w:r>
        <w:rPr>
          <w:lang w:val="ro-RO"/>
        </w:rPr>
        <w:t xml:space="preserve">Fr. Deak, </w:t>
      </w:r>
      <w:r w:rsidRPr="00C147FD">
        <w:rPr>
          <w:i/>
          <w:lang w:val="ro-RO"/>
        </w:rPr>
        <w:t>Tratat</w:t>
      </w:r>
      <w:r>
        <w:rPr>
          <w:lang w:val="ro-RO"/>
        </w:rPr>
        <w:t xml:space="preserve">..., Ediţia a II-a, Ed. Universul Juridic, Bucureşti, 2002, p. 354; D. Chirică, </w:t>
      </w:r>
      <w:r w:rsidRPr="00C147FD">
        <w:rPr>
          <w:i/>
          <w:lang w:val="ro-RO"/>
        </w:rPr>
        <w:t>Drept civil. Succesiuni şi testamente</w:t>
      </w:r>
      <w:r>
        <w:rPr>
          <w:lang w:val="ro-RO"/>
        </w:rPr>
        <w:t xml:space="preserve">, Ed. Rosetti, Bucureşti, 2003, p. 168-169; Fr. Deak, C. Toader, L. Stănciulescu, R. Popescu, V. Stoica, </w:t>
      </w:r>
      <w:r w:rsidRPr="00BF7F76">
        <w:rPr>
          <w:i/>
          <w:lang w:val="ro-RO"/>
        </w:rPr>
        <w:t>Moştenirea testamentară. Transmisiunea şi împărţeala moştenirii</w:t>
      </w:r>
      <w:r>
        <w:rPr>
          <w:lang w:val="ro-RO"/>
        </w:rPr>
        <w:t xml:space="preserve">, Ed. Actami, Bucureşti, 1997; p. 81-83, I. Dogaru, V. Stănescu, M. Soreaţă, </w:t>
      </w:r>
      <w:r w:rsidRPr="00BF7F76">
        <w:rPr>
          <w:i/>
          <w:lang w:val="ro-RO"/>
        </w:rPr>
        <w:t>Bazele dreptului civil. Volumul V. Succesiuni</w:t>
      </w:r>
      <w:r>
        <w:rPr>
          <w:lang w:val="ro-RO"/>
        </w:rPr>
        <w:t>, Editura C. H. Beck, Bucureşti, 2009, p. 400.</w:t>
      </w:r>
    </w:p>
  </w:footnote>
  <w:footnote w:id="18">
    <w:p w:rsidR="00726B66" w:rsidRPr="00B76098" w:rsidRDefault="00726B66" w:rsidP="00FC4FEA">
      <w:pPr>
        <w:pStyle w:val="FootnoteText"/>
        <w:jc w:val="both"/>
        <w:rPr>
          <w:lang w:val="ro-RO"/>
        </w:rPr>
      </w:pPr>
      <w:r>
        <w:rPr>
          <w:rStyle w:val="FootnoteReference"/>
        </w:rPr>
        <w:footnoteRef/>
      </w:r>
      <w:r>
        <w:t xml:space="preserve"> </w:t>
      </w:r>
      <w:r>
        <w:rPr>
          <w:lang w:val="ro-RO"/>
        </w:rPr>
        <w:t xml:space="preserve">M. Eliescu, </w:t>
      </w:r>
      <w:r w:rsidRPr="00B76098">
        <w:rPr>
          <w:i/>
          <w:lang w:val="ro-RO"/>
        </w:rPr>
        <w:t>op. cit</w:t>
      </w:r>
      <w:r>
        <w:rPr>
          <w:lang w:val="ro-RO"/>
        </w:rPr>
        <w:t xml:space="preserve">., p. 342-35; TS, col. civ., dec. nr. 25 din 8 ianuarie 1958, </w:t>
      </w:r>
      <w:r w:rsidRPr="00CF44D3">
        <w:rPr>
          <w:i/>
          <w:lang w:val="ro-RO"/>
        </w:rPr>
        <w:t>Repertoriul I...pe anii 1952-1969</w:t>
      </w:r>
      <w:r>
        <w:rPr>
          <w:lang w:val="ro-RO"/>
        </w:rPr>
        <w:t>, p. 439; TS, sec. civ., dec. nr. 15 din 4 ianuarie 1972, C.D. 1972, p. 175-177; TS, sec. civ., dec. nr. 613 din 23 martie 1988, R. R. D. nr. 3/1989, p. 66-67.</w:t>
      </w:r>
    </w:p>
  </w:footnote>
  <w:footnote w:id="19">
    <w:p w:rsidR="00726B66" w:rsidRPr="00065FA9" w:rsidRDefault="00726B66" w:rsidP="00FC4FEA">
      <w:pPr>
        <w:pStyle w:val="FootnoteText"/>
        <w:jc w:val="both"/>
        <w:rPr>
          <w:lang w:val="ro-RO"/>
        </w:rPr>
      </w:pPr>
      <w:r>
        <w:rPr>
          <w:rStyle w:val="FootnoteReference"/>
        </w:rPr>
        <w:footnoteRef/>
      </w:r>
      <w:r>
        <w:t xml:space="preserve"> </w:t>
      </w:r>
      <w:r>
        <w:rPr>
          <w:lang w:val="ro-RO"/>
        </w:rPr>
        <w:t>Principala critică adusă acestei opinii constă în faptul că nu este determinată rezerva soţului supravieţuitor, ci partea sa legală, or, în cazul de faţă, este vorba de moştenirea testamentară şi nu de devoluţiunea legală a moştenirii.</w:t>
      </w:r>
    </w:p>
  </w:footnote>
  <w:footnote w:id="20">
    <w:p w:rsidR="00726B66" w:rsidRPr="002D6E49" w:rsidRDefault="00726B66" w:rsidP="00FC4FEA">
      <w:pPr>
        <w:pStyle w:val="FootnoteText"/>
        <w:jc w:val="both"/>
        <w:rPr>
          <w:lang w:val="ro-RO"/>
        </w:rPr>
      </w:pPr>
      <w:r>
        <w:rPr>
          <w:rStyle w:val="FootnoteReference"/>
        </w:rPr>
        <w:footnoteRef/>
      </w:r>
      <w:r w:rsidR="00B0694A" w:rsidRPr="00B0694A">
        <w:t xml:space="preserve"> R. </w:t>
      </w:r>
      <w:proofErr w:type="spellStart"/>
      <w:r w:rsidR="00B0694A" w:rsidRPr="00B0694A">
        <w:t>Petrescu</w:t>
      </w:r>
      <w:proofErr w:type="spellEnd"/>
      <w:r w:rsidR="00B0694A" w:rsidRPr="00B0694A">
        <w:t xml:space="preserve">, V. Scherer, </w:t>
      </w:r>
      <w:proofErr w:type="spellStart"/>
      <w:r w:rsidR="00B0694A" w:rsidRPr="00B0694A">
        <w:t>Gh</w:t>
      </w:r>
      <w:proofErr w:type="spellEnd"/>
      <w:r w:rsidR="00B0694A" w:rsidRPr="00B0694A">
        <w:t xml:space="preserve">. </w:t>
      </w:r>
      <w:proofErr w:type="spellStart"/>
      <w:r w:rsidR="00B0694A" w:rsidRPr="00B0694A">
        <w:t>Nichita</w:t>
      </w:r>
      <w:proofErr w:type="spellEnd"/>
      <w:r w:rsidR="00B0694A" w:rsidRPr="00B0694A">
        <w:t xml:space="preserve">, </w:t>
      </w:r>
      <w:proofErr w:type="spellStart"/>
      <w:r w:rsidR="00B0694A" w:rsidRPr="00B0694A">
        <w:rPr>
          <w:i/>
        </w:rPr>
        <w:t>Probleme</w:t>
      </w:r>
      <w:proofErr w:type="spellEnd"/>
      <w:r w:rsidR="00B0694A" w:rsidRPr="00B0694A">
        <w:rPr>
          <w:i/>
        </w:rPr>
        <w:t xml:space="preserve"> </w:t>
      </w:r>
      <w:proofErr w:type="spellStart"/>
      <w:r w:rsidR="00B0694A" w:rsidRPr="00B0694A">
        <w:rPr>
          <w:i/>
        </w:rPr>
        <w:t>teoretice</w:t>
      </w:r>
      <w:proofErr w:type="spellEnd"/>
      <w:r w:rsidR="00B0694A" w:rsidRPr="00B0694A">
        <w:rPr>
          <w:i/>
        </w:rPr>
        <w:t xml:space="preserve"> </w:t>
      </w:r>
      <w:proofErr w:type="spellStart"/>
      <w:r w:rsidR="00B0694A" w:rsidRPr="00B0694A">
        <w:rPr>
          <w:i/>
        </w:rPr>
        <w:t>şi</w:t>
      </w:r>
      <w:proofErr w:type="spellEnd"/>
      <w:r w:rsidR="00B0694A" w:rsidRPr="00B0694A">
        <w:rPr>
          <w:i/>
        </w:rPr>
        <w:t xml:space="preserve"> practice de </w:t>
      </w:r>
      <w:proofErr w:type="spellStart"/>
      <w:r w:rsidR="00B0694A" w:rsidRPr="00B0694A">
        <w:rPr>
          <w:i/>
        </w:rPr>
        <w:t>drept</w:t>
      </w:r>
      <w:proofErr w:type="spellEnd"/>
      <w:r w:rsidR="00B0694A" w:rsidRPr="00B0694A">
        <w:rPr>
          <w:i/>
        </w:rPr>
        <w:t xml:space="preserve"> civil</w:t>
      </w:r>
      <w:r w:rsidR="00B0694A" w:rsidRPr="00B0694A">
        <w:t xml:space="preserve">, Ed. </w:t>
      </w:r>
      <w:proofErr w:type="spellStart"/>
      <w:r w:rsidR="00B0694A">
        <w:t>Scrisul</w:t>
      </w:r>
      <w:proofErr w:type="spellEnd"/>
      <w:r w:rsidR="00B0694A">
        <w:t xml:space="preserve"> </w:t>
      </w:r>
      <w:proofErr w:type="spellStart"/>
      <w:r w:rsidR="00B0694A">
        <w:t>Românesc</w:t>
      </w:r>
      <w:proofErr w:type="spellEnd"/>
      <w:r w:rsidR="00B0694A">
        <w:t>, Craiova, 1987</w:t>
      </w:r>
      <w:r>
        <w:rPr>
          <w:lang w:val="ro-RO"/>
        </w:rPr>
        <w:t>, p. 154; C. Stătescu</w:t>
      </w:r>
      <w:r w:rsidRPr="002D6E49">
        <w:rPr>
          <w:i/>
          <w:lang w:val="ro-RO"/>
        </w:rPr>
        <w:t>, Drept civi. Contractul de transport. Drepturile de creaţie intelectuală. Succesiunile</w:t>
      </w:r>
      <w:r>
        <w:rPr>
          <w:lang w:val="ro-RO"/>
        </w:rPr>
        <w:t>, Ed. Didactică şi Pedagogică, Bucureşti, 1967, p. 203-204; TS, col. civ., dec. nr. 1238 din 4 iunie 1955, C.D. vol. I, p. 185; TS, col. civ., dec. nr. 1485 din 31 decembrie 1966, C.D. 1966, p. 158-162, TS, col. civ., dec. nr. 2143 din 27 septembrie 1984, C.D. 1984, p. 90-91.</w:t>
      </w:r>
    </w:p>
  </w:footnote>
  <w:footnote w:id="21">
    <w:p w:rsidR="00726B66" w:rsidRPr="002D6E49" w:rsidRDefault="00726B66" w:rsidP="00FC4FEA">
      <w:pPr>
        <w:pStyle w:val="FootnoteText"/>
        <w:jc w:val="both"/>
        <w:rPr>
          <w:lang w:val="ro-RO"/>
        </w:rPr>
      </w:pPr>
      <w:r>
        <w:rPr>
          <w:rStyle w:val="FootnoteReference"/>
        </w:rPr>
        <w:footnoteRef/>
      </w:r>
      <w:r>
        <w:t xml:space="preserve"> </w:t>
      </w:r>
      <w:r>
        <w:rPr>
          <w:lang w:val="ro-RO"/>
        </w:rPr>
        <w:t xml:space="preserve">În ceea ce priveşte această opinie, se prevede în art. 1.090 C.civ. o cotitate disponibilă specială care </w:t>
      </w:r>
      <w:r w:rsidRPr="00A10ED4">
        <w:rPr>
          <w:i/>
          <w:lang w:val="ro-RO"/>
        </w:rPr>
        <w:t>poate</w:t>
      </w:r>
      <w:r>
        <w:rPr>
          <w:lang w:val="ro-RO"/>
        </w:rPr>
        <w:t xml:space="preserve"> avea limita maximă de ¼ din moştenire, putând fi deci şi mai mică.</w:t>
      </w:r>
    </w:p>
  </w:footnote>
  <w:footnote w:id="22">
    <w:p w:rsidR="00726B66" w:rsidRPr="002D3986" w:rsidRDefault="00726B66" w:rsidP="00FC4FEA">
      <w:pPr>
        <w:pStyle w:val="FootnoteText"/>
        <w:jc w:val="both"/>
        <w:rPr>
          <w:lang w:val="ro-RO"/>
        </w:rPr>
      </w:pPr>
      <w:r>
        <w:rPr>
          <w:rStyle w:val="FootnoteReference"/>
        </w:rPr>
        <w:footnoteRef/>
      </w:r>
      <w:r>
        <w:t xml:space="preserve"> </w:t>
      </w:r>
      <w:r>
        <w:rPr>
          <w:lang w:val="ro-RO"/>
        </w:rPr>
        <w:t>Legea vizează ipoteza în care, datorită donaţiilor primite de la defunct cu scutire de raport sau datorită dispoziţiilor testamentare (legate sau dezmoşteniri directe), unii dintre descendenţi primesc mai mult din moştenire decât alţii. Întrucât cotitatea disponibilă specială nu poate depăşi partea descendentului care a primit mai puţin, ea se raportează la această parte.</w:t>
      </w:r>
    </w:p>
  </w:footnote>
  <w:footnote w:id="23">
    <w:p w:rsidR="00726B66" w:rsidRPr="004B6D5E" w:rsidRDefault="00726B66" w:rsidP="00FC4FEA">
      <w:pPr>
        <w:pStyle w:val="FootnoteText"/>
        <w:jc w:val="both"/>
        <w:rPr>
          <w:lang w:val="ro-RO"/>
        </w:rPr>
      </w:pPr>
      <w:r>
        <w:rPr>
          <w:rStyle w:val="FootnoteReference"/>
        </w:rPr>
        <w:footnoteRef/>
      </w:r>
      <w:r>
        <w:t xml:space="preserve"> G. C. </w:t>
      </w:r>
      <w:proofErr w:type="spellStart"/>
      <w:r>
        <w:t>Frenţiu</w:t>
      </w:r>
      <w:proofErr w:type="spellEnd"/>
      <w:r>
        <w:t xml:space="preserve">, </w:t>
      </w:r>
      <w:proofErr w:type="spellStart"/>
      <w:r w:rsidRPr="00A65934">
        <w:rPr>
          <w:i/>
        </w:rPr>
        <w:t>Comentariile</w:t>
      </w:r>
      <w:proofErr w:type="spellEnd"/>
      <w:r w:rsidRPr="00A65934">
        <w:rPr>
          <w:i/>
        </w:rPr>
        <w:t xml:space="preserve"> </w:t>
      </w:r>
      <w:proofErr w:type="spellStart"/>
      <w:r w:rsidRPr="00A65934">
        <w:rPr>
          <w:i/>
        </w:rPr>
        <w:t>Codului</w:t>
      </w:r>
      <w:proofErr w:type="spellEnd"/>
      <w:r w:rsidRPr="00A65934">
        <w:rPr>
          <w:i/>
        </w:rPr>
        <w:t xml:space="preserve"> civil</w:t>
      </w:r>
      <w:r>
        <w:t xml:space="preserve">, Ed. </w:t>
      </w:r>
      <w:proofErr w:type="spellStart"/>
      <w:r>
        <w:t>Hamangiu</w:t>
      </w:r>
      <w:proofErr w:type="spellEnd"/>
      <w:r>
        <w:t xml:space="preserve">, </w:t>
      </w:r>
      <w:proofErr w:type="spellStart"/>
      <w:r>
        <w:t>Bucureşti</w:t>
      </w:r>
      <w:proofErr w:type="spellEnd"/>
      <w:r>
        <w:t>, 2013, p. 207-208;</w:t>
      </w:r>
      <w:r w:rsidR="00D1654A" w:rsidRPr="00D1654A">
        <w:t xml:space="preserve"> D. </w:t>
      </w:r>
      <w:proofErr w:type="spellStart"/>
      <w:r w:rsidR="00D1654A" w:rsidRPr="00D1654A">
        <w:t>Macovei</w:t>
      </w:r>
      <w:proofErr w:type="spellEnd"/>
      <w:r w:rsidR="00D1654A" w:rsidRPr="00D1654A">
        <w:t xml:space="preserve">, I. </w:t>
      </w:r>
      <w:proofErr w:type="spellStart"/>
      <w:r w:rsidR="00D1654A" w:rsidRPr="00D1654A">
        <w:t>Cadariu</w:t>
      </w:r>
      <w:proofErr w:type="spellEnd"/>
      <w:r w:rsidR="00D1654A" w:rsidRPr="00D1654A">
        <w:t xml:space="preserve">, </w:t>
      </w:r>
      <w:proofErr w:type="spellStart"/>
      <w:r w:rsidR="00D1654A" w:rsidRPr="00D1654A">
        <w:rPr>
          <w:i/>
        </w:rPr>
        <w:t>Drept</w:t>
      </w:r>
      <w:proofErr w:type="spellEnd"/>
      <w:r w:rsidR="00D1654A" w:rsidRPr="00D1654A">
        <w:rPr>
          <w:i/>
        </w:rPr>
        <w:t xml:space="preserve"> civil. </w:t>
      </w:r>
      <w:proofErr w:type="spellStart"/>
      <w:r w:rsidR="00D1654A" w:rsidRPr="00D1654A">
        <w:rPr>
          <w:i/>
        </w:rPr>
        <w:t>Succesiun</w:t>
      </w:r>
      <w:r w:rsidR="00D1654A" w:rsidRPr="00D1654A">
        <w:t>i</w:t>
      </w:r>
      <w:proofErr w:type="spellEnd"/>
      <w:r w:rsidR="00D1654A" w:rsidRPr="00D1654A">
        <w:t xml:space="preserve">, Ed. </w:t>
      </w:r>
      <w:proofErr w:type="spellStart"/>
      <w:r w:rsidR="00D1654A" w:rsidRPr="00D1654A">
        <w:t>Junimea</w:t>
      </w:r>
      <w:proofErr w:type="spellEnd"/>
      <w:r w:rsidR="00D1654A" w:rsidRPr="00D1654A">
        <w:t xml:space="preserve">, </w:t>
      </w:r>
      <w:proofErr w:type="spellStart"/>
      <w:r w:rsidR="00D1654A" w:rsidRPr="00D1654A">
        <w:t>Iaşi</w:t>
      </w:r>
      <w:proofErr w:type="spellEnd"/>
      <w:r w:rsidR="00D1654A" w:rsidRPr="00D1654A">
        <w:t>, 2005</w:t>
      </w:r>
      <w:r>
        <w:t>, p. 188.</w:t>
      </w:r>
    </w:p>
  </w:footnote>
  <w:footnote w:id="24">
    <w:p w:rsidR="00726B66" w:rsidRPr="00861946" w:rsidRDefault="00726B66" w:rsidP="00FC4FEA">
      <w:pPr>
        <w:pStyle w:val="FootnoteText"/>
        <w:jc w:val="both"/>
        <w:rPr>
          <w:lang w:val="ro-RO"/>
        </w:rPr>
      </w:pPr>
      <w:r>
        <w:rPr>
          <w:rStyle w:val="FootnoteReference"/>
        </w:rPr>
        <w:footnoteRef/>
      </w:r>
      <w:r>
        <w:t xml:space="preserve"> </w:t>
      </w:r>
      <w:r>
        <w:rPr>
          <w:lang w:val="ro-RO"/>
        </w:rPr>
        <w:t>Această limitare a liberalităţilor defunctului făcute în favoarea soţului supravieţuitor nu implică, însă, crearea unei rezerve speciale în favoarea descendenţilor, corelativă cotităţii disponibile speciale, pentru că dacă legiuitorul ar fi dorit astfel, ar fi prevăzut această rezervă în mod expres.</w:t>
      </w:r>
    </w:p>
  </w:footnote>
  <w:footnote w:id="25">
    <w:p w:rsidR="00726B66" w:rsidRPr="00A36856" w:rsidRDefault="00726B66" w:rsidP="00FC4FEA">
      <w:pPr>
        <w:pStyle w:val="FootnoteText"/>
        <w:jc w:val="both"/>
        <w:rPr>
          <w:lang w:val="ro-RO"/>
        </w:rPr>
      </w:pPr>
      <w:r>
        <w:rPr>
          <w:rStyle w:val="FootnoteReference"/>
        </w:rPr>
        <w:footnoteRef/>
      </w:r>
      <w:r>
        <w:t xml:space="preserve"> </w:t>
      </w:r>
      <w:r>
        <w:rPr>
          <w:lang w:val="ro-RO"/>
        </w:rPr>
        <w:t>Doar libertăţile neraportabile trebuie să se încadreze în cele două limite prevăzute de lege, la stabilirea cotităţii disponibile speciale nu se va lua în calcul rezerva cuvenită soţului supravieţuitor, care va reveni acestuia în mod imperativ, separat de ceea ce a primit sau, după caz, primeşte prin liberalităţi (donaţii neraportabile şi/sau legate).</w:t>
      </w:r>
    </w:p>
  </w:footnote>
  <w:footnote w:id="26">
    <w:p w:rsidR="00726B66" w:rsidRPr="00833835" w:rsidRDefault="00726B66" w:rsidP="00FC4FEA">
      <w:pPr>
        <w:pStyle w:val="FootnoteText"/>
        <w:jc w:val="both"/>
        <w:rPr>
          <w:lang w:val="ro-RO"/>
        </w:rPr>
      </w:pPr>
      <w:r>
        <w:rPr>
          <w:rStyle w:val="FootnoteReference"/>
        </w:rPr>
        <w:footnoteRef/>
      </w:r>
      <w:r>
        <w:t xml:space="preserve"> </w:t>
      </w:r>
      <w:r>
        <w:rPr>
          <w:lang w:val="ro-RO"/>
        </w:rPr>
        <w:t>Pentru opinia potrivit cu care în cazul concursului cu doi descendenţi ai defunctului (dintre care cel puţin unul provine dintr-o căsătorie anterioară a defunctului) cotitatea disponibilă specială a soţului supravieţuitor ar fi de ¼ din moştenire, a se vedea:</w:t>
      </w:r>
      <w:r w:rsidRPr="00833835">
        <w:rPr>
          <w:lang w:val="ro-RO"/>
        </w:rPr>
        <w:t xml:space="preserve"> </w:t>
      </w:r>
      <w:r>
        <w:rPr>
          <w:lang w:val="ro-RO"/>
        </w:rPr>
        <w:t xml:space="preserve">Fr. Deak, </w:t>
      </w:r>
      <w:r w:rsidRPr="004B6D5E">
        <w:rPr>
          <w:i/>
          <w:lang w:val="ro-RO"/>
        </w:rPr>
        <w:t>op. cit</w:t>
      </w:r>
      <w:r>
        <w:rPr>
          <w:lang w:val="ro-RO"/>
        </w:rPr>
        <w:t xml:space="preserve">., p. 282-284; M. D. Bocşan, </w:t>
      </w:r>
      <w:r w:rsidRPr="00A65934">
        <w:rPr>
          <w:i/>
          <w:lang w:val="ro-RO"/>
        </w:rPr>
        <w:t>Practică testamentară. Jurisprudenţa română 1865-2001</w:t>
      </w:r>
      <w:r>
        <w:rPr>
          <w:lang w:val="ro-RO"/>
        </w:rPr>
        <w:t>, Ed. Rosetti, Bucureşti, 2002, p. 97.</w:t>
      </w:r>
    </w:p>
  </w:footnote>
  <w:footnote w:id="27">
    <w:p w:rsidR="00726B66" w:rsidRPr="00693531" w:rsidRDefault="00726B66" w:rsidP="00FC4FEA">
      <w:pPr>
        <w:pStyle w:val="FootnoteText"/>
        <w:jc w:val="both"/>
        <w:rPr>
          <w:lang w:val="ro-RO"/>
        </w:rPr>
      </w:pPr>
      <w:r>
        <w:rPr>
          <w:rStyle w:val="FootnoteReference"/>
        </w:rPr>
        <w:footnoteRef/>
      </w:r>
      <w:r>
        <w:t xml:space="preserve"> D. </w:t>
      </w:r>
      <w:proofErr w:type="spellStart"/>
      <w:r>
        <w:t>Alexandresco</w:t>
      </w:r>
      <w:proofErr w:type="spellEnd"/>
      <w:r>
        <w:t xml:space="preserve">, </w:t>
      </w:r>
      <w:r w:rsidRPr="00693531">
        <w:rPr>
          <w:i/>
        </w:rPr>
        <w:t>op. cit</w:t>
      </w:r>
      <w:r>
        <w:t xml:space="preserve">., IV, p. 761; </w:t>
      </w:r>
      <w:r w:rsidR="00225E4B" w:rsidRPr="00225E4B">
        <w:t xml:space="preserve">C. </w:t>
      </w:r>
      <w:proofErr w:type="spellStart"/>
      <w:r w:rsidR="00225E4B" w:rsidRPr="00225E4B">
        <w:t>Hamangiu</w:t>
      </w:r>
      <w:proofErr w:type="spellEnd"/>
      <w:r w:rsidR="00225E4B" w:rsidRPr="00225E4B">
        <w:t>, I. Rossetti-</w:t>
      </w:r>
      <w:proofErr w:type="spellStart"/>
      <w:r w:rsidR="00225E4B" w:rsidRPr="00225E4B">
        <w:t>Bălănescu</w:t>
      </w:r>
      <w:proofErr w:type="spellEnd"/>
      <w:r w:rsidR="00225E4B" w:rsidRPr="00225E4B">
        <w:t xml:space="preserve">, Al. </w:t>
      </w:r>
      <w:proofErr w:type="spellStart"/>
      <w:r w:rsidR="00225E4B" w:rsidRPr="00225E4B">
        <w:t>Băicoianu</w:t>
      </w:r>
      <w:proofErr w:type="spellEnd"/>
      <w:r w:rsidR="00225E4B" w:rsidRPr="00225E4B">
        <w:t xml:space="preserve">, </w:t>
      </w:r>
      <w:proofErr w:type="spellStart"/>
      <w:r w:rsidR="00225E4B" w:rsidRPr="00225E4B">
        <w:t>Tratat</w:t>
      </w:r>
      <w:proofErr w:type="spellEnd"/>
      <w:r w:rsidR="00225E4B" w:rsidRPr="00225E4B">
        <w:t xml:space="preserve"> de </w:t>
      </w:r>
      <w:proofErr w:type="spellStart"/>
      <w:r w:rsidR="00225E4B" w:rsidRPr="00225E4B">
        <w:t>Drept</w:t>
      </w:r>
      <w:proofErr w:type="spellEnd"/>
      <w:r w:rsidR="00225E4B" w:rsidRPr="00225E4B">
        <w:t xml:space="preserve"> Civil </w:t>
      </w:r>
      <w:proofErr w:type="spellStart"/>
      <w:r w:rsidR="00225E4B" w:rsidRPr="00225E4B">
        <w:t>Român</w:t>
      </w:r>
      <w:proofErr w:type="spellEnd"/>
      <w:r w:rsidR="00225E4B" w:rsidRPr="00225E4B">
        <w:t xml:space="preserve">, vol. III, Ed. All, </w:t>
      </w:r>
      <w:proofErr w:type="spellStart"/>
      <w:r w:rsidR="00225E4B" w:rsidRPr="00225E4B">
        <w:t>Bucureşti</w:t>
      </w:r>
      <w:proofErr w:type="spellEnd"/>
      <w:r w:rsidR="00225E4B" w:rsidRPr="00225E4B">
        <w:t>, 1998</w:t>
      </w:r>
      <w:r w:rsidR="00225E4B">
        <w:t xml:space="preserve">, </w:t>
      </w:r>
      <w:r>
        <w:t xml:space="preserve">p. 731; M. </w:t>
      </w:r>
      <w:proofErr w:type="spellStart"/>
      <w:r>
        <w:t>Eliescu</w:t>
      </w:r>
      <w:proofErr w:type="spellEnd"/>
      <w:r>
        <w:t xml:space="preserve">, </w:t>
      </w:r>
      <w:r w:rsidRPr="00693531">
        <w:rPr>
          <w:i/>
        </w:rPr>
        <w:t>op. cit</w:t>
      </w:r>
      <w:r>
        <w:t xml:space="preserve">., p. 341; TS, sec. civ., </w:t>
      </w:r>
      <w:proofErr w:type="spellStart"/>
      <w:r>
        <w:t>dec</w:t>
      </w:r>
      <w:proofErr w:type="spellEnd"/>
      <w:r>
        <w:t xml:space="preserve">. nr. 2154 din 14 </w:t>
      </w:r>
      <w:proofErr w:type="spellStart"/>
      <w:r>
        <w:t>noiembrie</w:t>
      </w:r>
      <w:proofErr w:type="spellEnd"/>
      <w:r>
        <w:t xml:space="preserve"> 1972, </w:t>
      </w:r>
      <w:proofErr w:type="spellStart"/>
      <w:r>
        <w:t>în</w:t>
      </w:r>
      <w:proofErr w:type="spellEnd"/>
      <w:r>
        <w:t xml:space="preserve"> </w:t>
      </w:r>
      <w:proofErr w:type="spellStart"/>
      <w:r>
        <w:rPr>
          <w:i/>
        </w:rPr>
        <w:t>Repertoriu</w:t>
      </w:r>
      <w:proofErr w:type="spellEnd"/>
      <w:r>
        <w:rPr>
          <w:i/>
        </w:rPr>
        <w:t>…1969-1975</w:t>
      </w:r>
      <w:r>
        <w:t xml:space="preserve">, </w:t>
      </w:r>
      <w:proofErr w:type="gramStart"/>
      <w:r>
        <w:t>p</w:t>
      </w:r>
      <w:proofErr w:type="gramEnd"/>
      <w:r>
        <w:t>. 208.</w:t>
      </w:r>
    </w:p>
  </w:footnote>
  <w:footnote w:id="28">
    <w:p w:rsidR="00726B66" w:rsidRPr="00BF3126" w:rsidRDefault="00726B66" w:rsidP="00FC4FEA">
      <w:pPr>
        <w:pStyle w:val="FootnoteText"/>
        <w:jc w:val="both"/>
        <w:rPr>
          <w:lang w:val="ro-RO"/>
        </w:rPr>
      </w:pPr>
      <w:r>
        <w:rPr>
          <w:rStyle w:val="FootnoteReference"/>
        </w:rPr>
        <w:footnoteRef/>
      </w:r>
      <w:r>
        <w:t xml:space="preserve"> </w:t>
      </w:r>
      <w:r>
        <w:rPr>
          <w:lang w:val="ro-RO"/>
        </w:rPr>
        <w:t xml:space="preserve">Fr. Deak, </w:t>
      </w:r>
      <w:r w:rsidRPr="00BF3126">
        <w:rPr>
          <w:i/>
          <w:lang w:val="ro-RO"/>
        </w:rPr>
        <w:t>op. cit</w:t>
      </w:r>
      <w:r>
        <w:rPr>
          <w:lang w:val="ro-RO"/>
        </w:rPr>
        <w:t>., p. 286-287.</w:t>
      </w:r>
    </w:p>
  </w:footnote>
  <w:footnote w:id="29">
    <w:p w:rsidR="00726B66" w:rsidRPr="00A363B8" w:rsidRDefault="00726B66" w:rsidP="00FC4FEA">
      <w:pPr>
        <w:pStyle w:val="FootnoteText"/>
        <w:jc w:val="both"/>
        <w:rPr>
          <w:lang w:val="ro-RO"/>
        </w:rPr>
      </w:pPr>
      <w:r>
        <w:rPr>
          <w:rStyle w:val="FootnoteReference"/>
        </w:rPr>
        <w:footnoteRef/>
      </w:r>
      <w:r>
        <w:t xml:space="preserve"> </w:t>
      </w:r>
      <w:r>
        <w:rPr>
          <w:lang w:val="ro-RO"/>
        </w:rPr>
        <w:t xml:space="preserve">D. Chirică, </w:t>
      </w:r>
      <w:r w:rsidRPr="00A363B8">
        <w:rPr>
          <w:i/>
          <w:lang w:val="ro-RO"/>
        </w:rPr>
        <w:t>op. cit</w:t>
      </w:r>
      <w:r>
        <w:rPr>
          <w:lang w:val="ro-RO"/>
        </w:rPr>
        <w:t>., p. 408-409.</w:t>
      </w:r>
    </w:p>
  </w:footnote>
  <w:footnote w:id="30">
    <w:p w:rsidR="00726B66" w:rsidRPr="00836B56" w:rsidRDefault="00726B66" w:rsidP="00FC4FEA">
      <w:pPr>
        <w:pStyle w:val="FootnoteText"/>
        <w:jc w:val="both"/>
        <w:rPr>
          <w:lang w:val="ro-RO"/>
        </w:rPr>
      </w:pPr>
      <w:r>
        <w:rPr>
          <w:rStyle w:val="FootnoteReference"/>
        </w:rPr>
        <w:footnoteRef/>
      </w:r>
      <w:r>
        <w:t xml:space="preserve"> </w:t>
      </w:r>
      <w:r>
        <w:rPr>
          <w:lang w:val="ro-RO"/>
        </w:rPr>
        <w:t>Sancţiunea nulităţii priveşte însă numai donaţiile deghizate sau făcute prin interpunere de persoane, iar nu şi pe cele indirecte, cum, de pildă, este renunţarea unui soţ colegatar la un legat în favoarea celuilalt soţ colegatar, întrucât astfel de acte jurice nu conţin niciun element secret.</w:t>
      </w:r>
    </w:p>
  </w:footnote>
  <w:footnote w:id="31">
    <w:p w:rsidR="00726B66" w:rsidRPr="00836B56" w:rsidRDefault="00726B66" w:rsidP="00FC4FEA">
      <w:pPr>
        <w:pStyle w:val="FootnoteText"/>
        <w:jc w:val="both"/>
        <w:rPr>
          <w:lang w:val="ro-RO"/>
        </w:rPr>
      </w:pPr>
      <w:r>
        <w:rPr>
          <w:rStyle w:val="FootnoteReference"/>
        </w:rPr>
        <w:footnoteRef/>
      </w:r>
      <w:r>
        <w:t xml:space="preserve"> </w:t>
      </w:r>
      <w:r>
        <w:rPr>
          <w:lang w:val="ro-RO"/>
        </w:rPr>
        <w:t xml:space="preserve">Al. Bacaci, G. Comăniţă, </w:t>
      </w:r>
      <w:r w:rsidR="00F74E00">
        <w:rPr>
          <w:i/>
          <w:lang w:val="ro-RO"/>
        </w:rPr>
        <w:t>Drept civil. S</w:t>
      </w:r>
      <w:r>
        <w:rPr>
          <w:i/>
          <w:lang w:val="ro-RO"/>
        </w:rPr>
        <w:t>uccesiunele</w:t>
      </w:r>
      <w:r>
        <w:rPr>
          <w:lang w:val="ro-RO"/>
        </w:rPr>
        <w:t xml:space="preserve">, Ed. Universul Juridic, Bucureşti, 2013, p. 166; Tr. Ionaşcu, </w:t>
      </w:r>
      <w:r w:rsidRPr="00DC2FBB">
        <w:rPr>
          <w:i/>
          <w:lang w:val="ro-RO"/>
        </w:rPr>
        <w:t>Curs de drept civil. Succesiuni şi liberalităţi</w:t>
      </w:r>
      <w:r>
        <w:rPr>
          <w:lang w:val="ro-RO"/>
        </w:rPr>
        <w:t>, Insitutul de Arte Grafice Tătăraşi, Iaşi, 1928, p. 350-352.</w:t>
      </w:r>
    </w:p>
  </w:footnote>
  <w:footnote w:id="32">
    <w:p w:rsidR="00726B66" w:rsidRPr="00F264FD" w:rsidRDefault="00726B66" w:rsidP="00FC4FEA">
      <w:pPr>
        <w:pStyle w:val="FootnoteText"/>
        <w:jc w:val="both"/>
        <w:rPr>
          <w:lang w:val="ro-RO"/>
        </w:rPr>
      </w:pPr>
      <w:r>
        <w:rPr>
          <w:rStyle w:val="FootnoteReference"/>
        </w:rPr>
        <w:footnoteRef/>
      </w:r>
      <w:r>
        <w:t xml:space="preserve"> </w:t>
      </w:r>
      <w:r w:rsidR="00F74E00">
        <w:rPr>
          <w:lang w:val="ro-RO"/>
        </w:rPr>
        <w:t xml:space="preserve">G. C. Frenţiu, </w:t>
      </w:r>
      <w:r w:rsidR="00F74E00" w:rsidRPr="00FC4FEA">
        <w:rPr>
          <w:i/>
          <w:lang w:val="ro-RO"/>
        </w:rPr>
        <w:t>Comen</w:t>
      </w:r>
      <w:r w:rsidRPr="00FC4FEA">
        <w:rPr>
          <w:i/>
          <w:lang w:val="ro-RO"/>
        </w:rPr>
        <w:t>t</w:t>
      </w:r>
      <w:r w:rsidR="00F74E00" w:rsidRPr="00FC4FEA">
        <w:rPr>
          <w:i/>
          <w:lang w:val="ro-RO"/>
        </w:rPr>
        <w:t>a</w:t>
      </w:r>
      <w:r w:rsidRPr="00FC4FEA">
        <w:rPr>
          <w:i/>
          <w:lang w:val="ro-RO"/>
        </w:rPr>
        <w:t>riile Codului civil: liberalităţile, testamentul, rezerva succesorală, reducţiunea liberalităţilor excesive</w:t>
      </w:r>
      <w:r>
        <w:rPr>
          <w:lang w:val="ro-RO"/>
        </w:rPr>
        <w:t>, Ed. Hamangiu, Bucureşti, 2013, p. 203-204.</w:t>
      </w:r>
    </w:p>
  </w:footnote>
  <w:footnote w:id="33">
    <w:p w:rsidR="00726B66" w:rsidRPr="00FD547E" w:rsidRDefault="00726B66" w:rsidP="00FC4FEA">
      <w:pPr>
        <w:pStyle w:val="FootnoteText"/>
        <w:jc w:val="both"/>
        <w:rPr>
          <w:lang w:val="ro-RO"/>
        </w:rPr>
      </w:pPr>
      <w:r>
        <w:rPr>
          <w:rStyle w:val="FootnoteReference"/>
        </w:rPr>
        <w:footnoteRef/>
      </w:r>
      <w:r>
        <w:t xml:space="preserve"> </w:t>
      </w:r>
      <w:r>
        <w:rPr>
          <w:lang w:val="ro-RO"/>
        </w:rPr>
        <w:t xml:space="preserve">E. Stanciu, </w:t>
      </w:r>
      <w:r w:rsidRPr="00FD547E">
        <w:rPr>
          <w:i/>
          <w:lang w:val="ro-RO"/>
        </w:rPr>
        <w:t>Drepturile succesorale ale soţului supravieţuitor</w:t>
      </w:r>
      <w:r>
        <w:rPr>
          <w:lang w:val="ro-RO"/>
        </w:rPr>
        <w:t>, Ed. Hamangiu, 2008, p. 18-20.</w:t>
      </w:r>
    </w:p>
  </w:footnote>
  <w:footnote w:id="34">
    <w:p w:rsidR="00726B66" w:rsidRPr="00A53CE7" w:rsidRDefault="00726B66" w:rsidP="00FC4FEA">
      <w:pPr>
        <w:pStyle w:val="FootnoteText"/>
        <w:jc w:val="both"/>
        <w:rPr>
          <w:lang w:val="ro-RO"/>
        </w:rPr>
      </w:pPr>
      <w:r>
        <w:rPr>
          <w:rStyle w:val="FootnoteReference"/>
        </w:rPr>
        <w:footnoteRef/>
      </w:r>
      <w:r>
        <w:t xml:space="preserve"> </w:t>
      </w:r>
      <w:r>
        <w:rPr>
          <w:lang w:val="ro-RO"/>
        </w:rPr>
        <w:t xml:space="preserve">R. </w:t>
      </w:r>
      <w:r>
        <w:rPr>
          <w:lang w:val="ro-RO"/>
        </w:rPr>
        <w:t xml:space="preserve">Popescu, Moştenirea - partea a 2-a a Conferinţei INM Noul Cod civil, Bucureşti, </w:t>
      </w:r>
      <w:r>
        <w:rPr>
          <w:lang w:val="ro-RO"/>
        </w:rPr>
        <w:t xml:space="preserve">8 septembrie 2011, </w:t>
      </w:r>
      <w:r w:rsidR="00CF2ED2">
        <w:fldChar w:fldCharType="begin"/>
      </w:r>
      <w:r w:rsidR="00F43E7D">
        <w:instrText>HYPERLINK "http://www.inm-lex.ro/NCC/video1.html"</w:instrText>
      </w:r>
      <w:r w:rsidR="00CF2ED2">
        <w:fldChar w:fldCharType="separate"/>
      </w:r>
      <w:r w:rsidRPr="00851D29">
        <w:rPr>
          <w:rStyle w:val="Hyperlink"/>
          <w:lang w:val="ro-RO"/>
        </w:rPr>
        <w:t>http://www.inm-lex.ro/NCC/video1.html</w:t>
      </w:r>
      <w:r w:rsidR="00CF2ED2">
        <w:fldChar w:fldCharType="end"/>
      </w:r>
    </w:p>
  </w:footnote>
  <w:footnote w:id="35">
    <w:p w:rsidR="00726B66" w:rsidRPr="0095188B" w:rsidRDefault="00726B66" w:rsidP="00FC4FEA">
      <w:pPr>
        <w:pStyle w:val="FootnoteText"/>
        <w:jc w:val="both"/>
        <w:rPr>
          <w:lang w:val="ro-RO"/>
        </w:rPr>
      </w:pPr>
      <w:r>
        <w:rPr>
          <w:rStyle w:val="FootnoteReference"/>
        </w:rPr>
        <w:footnoteRef/>
      </w:r>
      <w:r>
        <w:t xml:space="preserve"> </w:t>
      </w:r>
      <w:r>
        <w:rPr>
          <w:lang w:val="ro-RO"/>
        </w:rPr>
        <w:t xml:space="preserve">D. Chirică, </w:t>
      </w:r>
      <w:r w:rsidRPr="0095188B">
        <w:rPr>
          <w:i/>
          <w:lang w:val="ro-RO"/>
        </w:rPr>
        <w:t>op. cit</w:t>
      </w:r>
      <w:r>
        <w:rPr>
          <w:lang w:val="ro-RO"/>
        </w:rPr>
        <w:t>., p. 407.</w:t>
      </w:r>
    </w:p>
  </w:footnote>
  <w:footnote w:id="36">
    <w:p w:rsidR="00726B66" w:rsidRPr="002205AA" w:rsidRDefault="00726B66" w:rsidP="00FC4FEA">
      <w:pPr>
        <w:pStyle w:val="FootnoteText"/>
        <w:jc w:val="both"/>
        <w:rPr>
          <w:lang w:val="ro-RO"/>
        </w:rPr>
      </w:pPr>
      <w:r>
        <w:rPr>
          <w:rStyle w:val="FootnoteReference"/>
        </w:rPr>
        <w:footnoteRef/>
      </w:r>
      <w:r>
        <w:t xml:space="preserve"> </w:t>
      </w:r>
      <w:proofErr w:type="spellStart"/>
      <w:r>
        <w:t>Convenţia</w:t>
      </w:r>
      <w:proofErr w:type="spellEnd"/>
      <w:r>
        <w:t xml:space="preserve"> din 4 </w:t>
      </w:r>
      <w:proofErr w:type="spellStart"/>
      <w:r>
        <w:t>noiembrie</w:t>
      </w:r>
      <w:proofErr w:type="spellEnd"/>
      <w:r>
        <w:t xml:space="preserve"> 1950 </w:t>
      </w:r>
      <w:proofErr w:type="spellStart"/>
      <w:r>
        <w:t>pentru</w:t>
      </w:r>
      <w:proofErr w:type="spellEnd"/>
      <w:r>
        <w:t xml:space="preserve"> </w:t>
      </w:r>
      <w:proofErr w:type="spellStart"/>
      <w:r>
        <w:t>apărarea</w:t>
      </w:r>
      <w:proofErr w:type="spellEnd"/>
      <w:r>
        <w:t xml:space="preserve"> </w:t>
      </w:r>
      <w:proofErr w:type="spellStart"/>
      <w:r>
        <w:t>drepturilor</w:t>
      </w:r>
      <w:proofErr w:type="spellEnd"/>
      <w:r>
        <w:t xml:space="preserve"> </w:t>
      </w:r>
      <w:proofErr w:type="spellStart"/>
      <w:r>
        <w:t>omului</w:t>
      </w:r>
      <w:proofErr w:type="spellEnd"/>
      <w:r>
        <w:t xml:space="preserve"> </w:t>
      </w:r>
      <w:proofErr w:type="spellStart"/>
      <w:r>
        <w:t>şi</w:t>
      </w:r>
      <w:proofErr w:type="spellEnd"/>
      <w:r>
        <w:t xml:space="preserve"> a </w:t>
      </w:r>
      <w:proofErr w:type="spellStart"/>
      <w:r>
        <w:t>libertăţilor</w:t>
      </w:r>
      <w:proofErr w:type="spellEnd"/>
      <w:r>
        <w:t xml:space="preserve"> </w:t>
      </w:r>
      <w:proofErr w:type="spellStart"/>
      <w:r>
        <w:t>fundamentale</w:t>
      </w:r>
      <w:proofErr w:type="spellEnd"/>
      <w:r>
        <w:t xml:space="preserve">, </w:t>
      </w:r>
      <w:proofErr w:type="spellStart"/>
      <w:r>
        <w:t>amendată</w:t>
      </w:r>
      <w:proofErr w:type="spellEnd"/>
      <w:r w:rsidRPr="002205AA">
        <w:t xml:space="preserve"> </w:t>
      </w:r>
      <w:proofErr w:type="spellStart"/>
      <w:r w:rsidRPr="002205AA">
        <w:t>p</w:t>
      </w:r>
      <w:r>
        <w:t>rin</w:t>
      </w:r>
      <w:proofErr w:type="spellEnd"/>
      <w:r>
        <w:t xml:space="preserve"> </w:t>
      </w:r>
      <w:proofErr w:type="spellStart"/>
      <w:r>
        <w:t>Protocoalele</w:t>
      </w:r>
      <w:proofErr w:type="spellEnd"/>
      <w:r>
        <w:t xml:space="preserve"> nr. </w:t>
      </w:r>
      <w:proofErr w:type="gramStart"/>
      <w:r>
        <w:t xml:space="preserve">3, 5 </w:t>
      </w:r>
      <w:proofErr w:type="spellStart"/>
      <w:r>
        <w:t>si</w:t>
      </w:r>
      <w:proofErr w:type="spellEnd"/>
      <w:r>
        <w:t xml:space="preserve"> 8 </w:t>
      </w:r>
      <w:proofErr w:type="spellStart"/>
      <w:r>
        <w:t>şi</w:t>
      </w:r>
      <w:proofErr w:type="spellEnd"/>
      <w:r>
        <w:t xml:space="preserve"> </w:t>
      </w:r>
      <w:proofErr w:type="spellStart"/>
      <w:r>
        <w:t>completată</w:t>
      </w:r>
      <w:proofErr w:type="spellEnd"/>
      <w:r>
        <w:t xml:space="preserve"> </w:t>
      </w:r>
      <w:proofErr w:type="spellStart"/>
      <w:r>
        <w:t>prin</w:t>
      </w:r>
      <w:proofErr w:type="spellEnd"/>
      <w:r>
        <w:t xml:space="preserve"> </w:t>
      </w:r>
      <w:proofErr w:type="spellStart"/>
      <w:r>
        <w:t>Protocolul</w:t>
      </w:r>
      <w:proofErr w:type="spellEnd"/>
      <w:r>
        <w:t xml:space="preserve"> nr.</w:t>
      </w:r>
      <w:proofErr w:type="gramEnd"/>
      <w:r>
        <w:t xml:space="preserve"> </w:t>
      </w:r>
      <w:proofErr w:type="gramStart"/>
      <w:r>
        <w:t xml:space="preserve">2, </w:t>
      </w:r>
      <w:proofErr w:type="spellStart"/>
      <w:r>
        <w:t>semnată</w:t>
      </w:r>
      <w:proofErr w:type="spellEnd"/>
      <w:r w:rsidRPr="002205AA">
        <w:t xml:space="preserve"> la Roma</w:t>
      </w:r>
      <w:r>
        <w:t>.</w:t>
      </w:r>
      <w:proofErr w:type="gramEnd"/>
      <w:r>
        <w:t xml:space="preserve"> </w:t>
      </w:r>
      <w:proofErr w:type="gramStart"/>
      <w:r>
        <w:t>Conform</w:t>
      </w:r>
      <w:proofErr w:type="gramEnd"/>
      <w:r>
        <w:t xml:space="preserve"> art. 14: </w:t>
      </w:r>
      <w:proofErr w:type="spellStart"/>
      <w:r>
        <w:rPr>
          <w:i/>
        </w:rPr>
        <w:t>Exercitarea</w:t>
      </w:r>
      <w:proofErr w:type="spellEnd"/>
      <w:r>
        <w:rPr>
          <w:i/>
        </w:rPr>
        <w:t xml:space="preserve"> </w:t>
      </w:r>
      <w:proofErr w:type="spellStart"/>
      <w:r>
        <w:rPr>
          <w:i/>
        </w:rPr>
        <w:t>drepturilor</w:t>
      </w:r>
      <w:proofErr w:type="spellEnd"/>
      <w:r>
        <w:rPr>
          <w:i/>
        </w:rPr>
        <w:t xml:space="preserve"> </w:t>
      </w:r>
      <w:proofErr w:type="spellStart"/>
      <w:r>
        <w:rPr>
          <w:i/>
        </w:rPr>
        <w:t>şi</w:t>
      </w:r>
      <w:proofErr w:type="spellEnd"/>
      <w:r>
        <w:rPr>
          <w:i/>
        </w:rPr>
        <w:t xml:space="preserve"> </w:t>
      </w:r>
      <w:proofErr w:type="spellStart"/>
      <w:r>
        <w:rPr>
          <w:i/>
        </w:rPr>
        <w:t>libertăţ</w:t>
      </w:r>
      <w:r w:rsidRPr="002205AA">
        <w:rPr>
          <w:i/>
        </w:rPr>
        <w:t>ilor</w:t>
      </w:r>
      <w:proofErr w:type="spellEnd"/>
      <w:r w:rsidRPr="002205AA">
        <w:rPr>
          <w:i/>
        </w:rPr>
        <w:t xml:space="preserve"> </w:t>
      </w:r>
      <w:proofErr w:type="spellStart"/>
      <w:r w:rsidRPr="002205AA">
        <w:rPr>
          <w:i/>
        </w:rPr>
        <w:t>recun</w:t>
      </w:r>
      <w:r>
        <w:rPr>
          <w:i/>
        </w:rPr>
        <w:t>oscute</w:t>
      </w:r>
      <w:proofErr w:type="spellEnd"/>
      <w:r>
        <w:rPr>
          <w:i/>
        </w:rPr>
        <w:t xml:space="preserve"> de </w:t>
      </w:r>
      <w:proofErr w:type="spellStart"/>
      <w:r>
        <w:rPr>
          <w:i/>
        </w:rPr>
        <w:t>prezenta</w:t>
      </w:r>
      <w:proofErr w:type="spellEnd"/>
      <w:r>
        <w:rPr>
          <w:i/>
        </w:rPr>
        <w:t xml:space="preserve"> </w:t>
      </w:r>
      <w:proofErr w:type="spellStart"/>
      <w:r>
        <w:rPr>
          <w:i/>
        </w:rPr>
        <w:t>convenţie</w:t>
      </w:r>
      <w:proofErr w:type="spellEnd"/>
      <w:r>
        <w:rPr>
          <w:i/>
        </w:rPr>
        <w:t xml:space="preserve"> </w:t>
      </w:r>
      <w:proofErr w:type="spellStart"/>
      <w:r>
        <w:rPr>
          <w:i/>
        </w:rPr>
        <w:t>trebuie</w:t>
      </w:r>
      <w:proofErr w:type="spellEnd"/>
      <w:r>
        <w:rPr>
          <w:i/>
        </w:rPr>
        <w:t xml:space="preserve"> </w:t>
      </w:r>
      <w:proofErr w:type="spellStart"/>
      <w:r>
        <w:rPr>
          <w:i/>
        </w:rPr>
        <w:t>să</w:t>
      </w:r>
      <w:proofErr w:type="spellEnd"/>
      <w:r>
        <w:rPr>
          <w:i/>
        </w:rPr>
        <w:t xml:space="preserve"> fie </w:t>
      </w:r>
      <w:proofErr w:type="spellStart"/>
      <w:r>
        <w:rPr>
          <w:i/>
        </w:rPr>
        <w:t>asigurată</w:t>
      </w:r>
      <w:proofErr w:type="spellEnd"/>
      <w:r>
        <w:rPr>
          <w:i/>
        </w:rPr>
        <w:t xml:space="preserve"> </w:t>
      </w:r>
      <w:proofErr w:type="spellStart"/>
      <w:r>
        <w:rPr>
          <w:i/>
        </w:rPr>
        <w:t>fără</w:t>
      </w:r>
      <w:proofErr w:type="spellEnd"/>
      <w:r>
        <w:rPr>
          <w:i/>
        </w:rPr>
        <w:t xml:space="preserve"> </w:t>
      </w:r>
      <w:proofErr w:type="spellStart"/>
      <w:r>
        <w:rPr>
          <w:i/>
        </w:rPr>
        <w:t>nici</w:t>
      </w:r>
      <w:proofErr w:type="spellEnd"/>
      <w:r>
        <w:rPr>
          <w:i/>
        </w:rPr>
        <w:t xml:space="preserve"> o </w:t>
      </w:r>
      <w:proofErr w:type="spellStart"/>
      <w:r>
        <w:rPr>
          <w:i/>
        </w:rPr>
        <w:t>deosebire</w:t>
      </w:r>
      <w:proofErr w:type="spellEnd"/>
      <w:r>
        <w:rPr>
          <w:i/>
        </w:rPr>
        <w:t xml:space="preserve"> </w:t>
      </w:r>
      <w:proofErr w:type="spellStart"/>
      <w:r>
        <w:rPr>
          <w:i/>
        </w:rPr>
        <w:t>bazată</w:t>
      </w:r>
      <w:proofErr w:type="spellEnd"/>
      <w:r>
        <w:rPr>
          <w:i/>
        </w:rPr>
        <w:t xml:space="preserve">, </w:t>
      </w:r>
      <w:proofErr w:type="spellStart"/>
      <w:r>
        <w:rPr>
          <w:i/>
        </w:rPr>
        <w:t>în</w:t>
      </w:r>
      <w:proofErr w:type="spellEnd"/>
      <w:r>
        <w:rPr>
          <w:i/>
        </w:rPr>
        <w:t xml:space="preserve"> special, </w:t>
      </w:r>
      <w:proofErr w:type="spellStart"/>
      <w:r>
        <w:rPr>
          <w:i/>
        </w:rPr>
        <w:t>pe</w:t>
      </w:r>
      <w:proofErr w:type="spellEnd"/>
      <w:r>
        <w:rPr>
          <w:i/>
        </w:rPr>
        <w:t xml:space="preserve"> sex, </w:t>
      </w:r>
      <w:proofErr w:type="spellStart"/>
      <w:r>
        <w:rPr>
          <w:i/>
        </w:rPr>
        <w:t>rasă</w:t>
      </w:r>
      <w:proofErr w:type="spellEnd"/>
      <w:r>
        <w:rPr>
          <w:i/>
        </w:rPr>
        <w:t xml:space="preserve">, </w:t>
      </w:r>
      <w:proofErr w:type="spellStart"/>
      <w:r>
        <w:rPr>
          <w:i/>
        </w:rPr>
        <w:t>culoare</w:t>
      </w:r>
      <w:proofErr w:type="spellEnd"/>
      <w:r>
        <w:rPr>
          <w:i/>
        </w:rPr>
        <w:t xml:space="preserve">, </w:t>
      </w:r>
      <w:proofErr w:type="spellStart"/>
      <w:r>
        <w:rPr>
          <w:i/>
        </w:rPr>
        <w:t>limbă</w:t>
      </w:r>
      <w:proofErr w:type="spellEnd"/>
      <w:r w:rsidRPr="002205AA">
        <w:rPr>
          <w:i/>
        </w:rPr>
        <w:t xml:space="preserve">, </w:t>
      </w:r>
      <w:proofErr w:type="spellStart"/>
      <w:r w:rsidRPr="002205AA">
        <w:rPr>
          <w:i/>
        </w:rPr>
        <w:t>religie</w:t>
      </w:r>
      <w:proofErr w:type="spellEnd"/>
      <w:r w:rsidRPr="002205AA">
        <w:rPr>
          <w:i/>
        </w:rPr>
        <w:t xml:space="preserve">, </w:t>
      </w:r>
      <w:proofErr w:type="spellStart"/>
      <w:r w:rsidRPr="002205AA">
        <w:rPr>
          <w:i/>
        </w:rPr>
        <w:t>opinii</w:t>
      </w:r>
      <w:proofErr w:type="spellEnd"/>
      <w:r w:rsidRPr="002205AA">
        <w:rPr>
          <w:i/>
        </w:rPr>
        <w:t xml:space="preserve"> </w:t>
      </w:r>
      <w:proofErr w:type="spellStart"/>
      <w:r w:rsidRPr="002205AA">
        <w:rPr>
          <w:i/>
        </w:rPr>
        <w:t>politice</w:t>
      </w:r>
      <w:proofErr w:type="spellEnd"/>
      <w:r w:rsidRPr="002205AA">
        <w:rPr>
          <w:i/>
        </w:rPr>
        <w:t xml:space="preserve"> </w:t>
      </w:r>
      <w:proofErr w:type="spellStart"/>
      <w:r w:rsidRPr="002205AA">
        <w:rPr>
          <w:i/>
        </w:rPr>
        <w:t>s</w:t>
      </w:r>
      <w:r>
        <w:rPr>
          <w:i/>
        </w:rPr>
        <w:t>au</w:t>
      </w:r>
      <w:proofErr w:type="spellEnd"/>
      <w:r>
        <w:rPr>
          <w:i/>
        </w:rPr>
        <w:t xml:space="preserve"> </w:t>
      </w:r>
      <w:proofErr w:type="spellStart"/>
      <w:r>
        <w:rPr>
          <w:i/>
        </w:rPr>
        <w:t>orice</w:t>
      </w:r>
      <w:proofErr w:type="spellEnd"/>
      <w:r>
        <w:rPr>
          <w:i/>
        </w:rPr>
        <w:t xml:space="preserve"> </w:t>
      </w:r>
      <w:proofErr w:type="spellStart"/>
      <w:r>
        <w:rPr>
          <w:i/>
        </w:rPr>
        <w:t>alte</w:t>
      </w:r>
      <w:proofErr w:type="spellEnd"/>
      <w:r>
        <w:rPr>
          <w:i/>
        </w:rPr>
        <w:t xml:space="preserve"> </w:t>
      </w:r>
      <w:proofErr w:type="spellStart"/>
      <w:r>
        <w:rPr>
          <w:i/>
        </w:rPr>
        <w:t>opinii</w:t>
      </w:r>
      <w:proofErr w:type="spellEnd"/>
      <w:r>
        <w:rPr>
          <w:i/>
        </w:rPr>
        <w:t xml:space="preserve">, </w:t>
      </w:r>
      <w:proofErr w:type="spellStart"/>
      <w:r>
        <w:rPr>
          <w:i/>
        </w:rPr>
        <w:t>origine</w:t>
      </w:r>
      <w:proofErr w:type="spellEnd"/>
      <w:r>
        <w:rPr>
          <w:i/>
        </w:rPr>
        <w:t xml:space="preserve"> </w:t>
      </w:r>
      <w:proofErr w:type="spellStart"/>
      <w:r>
        <w:rPr>
          <w:i/>
        </w:rPr>
        <w:t>naţională</w:t>
      </w:r>
      <w:proofErr w:type="spellEnd"/>
      <w:r>
        <w:rPr>
          <w:i/>
        </w:rPr>
        <w:t xml:space="preserve"> </w:t>
      </w:r>
      <w:proofErr w:type="spellStart"/>
      <w:r>
        <w:rPr>
          <w:i/>
        </w:rPr>
        <w:t>sau</w:t>
      </w:r>
      <w:proofErr w:type="spellEnd"/>
      <w:r>
        <w:rPr>
          <w:i/>
        </w:rPr>
        <w:t xml:space="preserve"> </w:t>
      </w:r>
      <w:proofErr w:type="spellStart"/>
      <w:r>
        <w:rPr>
          <w:i/>
        </w:rPr>
        <w:t>socială</w:t>
      </w:r>
      <w:proofErr w:type="spellEnd"/>
      <w:r>
        <w:rPr>
          <w:i/>
        </w:rPr>
        <w:t xml:space="preserve">, </w:t>
      </w:r>
      <w:proofErr w:type="spellStart"/>
      <w:r>
        <w:rPr>
          <w:i/>
        </w:rPr>
        <w:t>apartenenţă</w:t>
      </w:r>
      <w:proofErr w:type="spellEnd"/>
      <w:r>
        <w:rPr>
          <w:i/>
        </w:rPr>
        <w:t xml:space="preserve"> la o </w:t>
      </w:r>
      <w:proofErr w:type="spellStart"/>
      <w:r>
        <w:rPr>
          <w:i/>
        </w:rPr>
        <w:t>minoritate</w:t>
      </w:r>
      <w:proofErr w:type="spellEnd"/>
      <w:r>
        <w:rPr>
          <w:i/>
        </w:rPr>
        <w:t xml:space="preserve"> </w:t>
      </w:r>
      <w:proofErr w:type="spellStart"/>
      <w:r>
        <w:rPr>
          <w:i/>
        </w:rPr>
        <w:t>naţională</w:t>
      </w:r>
      <w:proofErr w:type="spellEnd"/>
      <w:r>
        <w:rPr>
          <w:i/>
        </w:rPr>
        <w:t xml:space="preserve">, </w:t>
      </w:r>
      <w:proofErr w:type="spellStart"/>
      <w:r>
        <w:rPr>
          <w:i/>
        </w:rPr>
        <w:t>avere</w:t>
      </w:r>
      <w:proofErr w:type="spellEnd"/>
      <w:r>
        <w:rPr>
          <w:i/>
        </w:rPr>
        <w:t xml:space="preserve">, </w:t>
      </w:r>
      <w:proofErr w:type="spellStart"/>
      <w:r>
        <w:rPr>
          <w:i/>
        </w:rPr>
        <w:t>naş</w:t>
      </w:r>
      <w:r w:rsidRPr="002205AA">
        <w:rPr>
          <w:i/>
        </w:rPr>
        <w:t>te</w:t>
      </w:r>
      <w:r>
        <w:rPr>
          <w:i/>
        </w:rPr>
        <w:t>re</w:t>
      </w:r>
      <w:proofErr w:type="spellEnd"/>
      <w:r>
        <w:rPr>
          <w:i/>
        </w:rPr>
        <w:t xml:space="preserve"> </w:t>
      </w:r>
      <w:proofErr w:type="spellStart"/>
      <w:r>
        <w:rPr>
          <w:i/>
        </w:rPr>
        <w:t>sau</w:t>
      </w:r>
      <w:proofErr w:type="spellEnd"/>
      <w:r>
        <w:rPr>
          <w:i/>
        </w:rPr>
        <w:t xml:space="preserve"> </w:t>
      </w:r>
      <w:proofErr w:type="spellStart"/>
      <w:r>
        <w:rPr>
          <w:i/>
        </w:rPr>
        <w:t>orice</w:t>
      </w:r>
      <w:proofErr w:type="spellEnd"/>
      <w:r>
        <w:rPr>
          <w:i/>
        </w:rPr>
        <w:t xml:space="preserve"> </w:t>
      </w:r>
      <w:proofErr w:type="spellStart"/>
      <w:r>
        <w:rPr>
          <w:i/>
        </w:rPr>
        <w:t>altă</w:t>
      </w:r>
      <w:proofErr w:type="spellEnd"/>
      <w:r>
        <w:rPr>
          <w:i/>
        </w:rPr>
        <w:t xml:space="preserve"> </w:t>
      </w:r>
      <w:proofErr w:type="spellStart"/>
      <w:r>
        <w:rPr>
          <w:i/>
        </w:rPr>
        <w:t>situaţ</w:t>
      </w:r>
      <w:r w:rsidRPr="002205AA">
        <w:rPr>
          <w:i/>
        </w:rPr>
        <w:t>ie</w:t>
      </w:r>
      <w:proofErr w:type="spellEnd"/>
      <w:r w:rsidRPr="002205AA">
        <w:rPr>
          <w:i/>
        </w:rPr>
        <w:t>.</w:t>
      </w:r>
    </w:p>
  </w:footnote>
  <w:footnote w:id="37">
    <w:p w:rsidR="001A15A9" w:rsidRPr="001A15A9" w:rsidRDefault="001A15A9" w:rsidP="00FC4FEA">
      <w:pPr>
        <w:pStyle w:val="FootnoteText"/>
        <w:jc w:val="both"/>
        <w:rPr>
          <w:lang w:val="ro-RO"/>
        </w:rPr>
      </w:pPr>
      <w:r>
        <w:rPr>
          <w:rStyle w:val="FootnoteReference"/>
        </w:rPr>
        <w:footnoteRef/>
      </w:r>
      <w:r>
        <w:t xml:space="preserve"> </w:t>
      </w:r>
      <w:r>
        <w:rPr>
          <w:lang w:val="ro-RO"/>
        </w:rPr>
        <w:t>E. Stanciu,</w:t>
      </w:r>
      <w:r>
        <w:rPr>
          <w:i/>
          <w:lang w:val="ro-RO"/>
        </w:rPr>
        <w:t xml:space="preserve"> op. cit.</w:t>
      </w:r>
      <w:r>
        <w:rPr>
          <w:lang w:val="ro-RO"/>
        </w:rPr>
        <w:t>, p. 44-45.</w:t>
      </w:r>
    </w:p>
  </w:footnote>
  <w:footnote w:id="38">
    <w:p w:rsidR="00EF57A4" w:rsidRPr="00EF57A4" w:rsidRDefault="00EF57A4" w:rsidP="00FC4FEA">
      <w:pPr>
        <w:pStyle w:val="FootnoteText"/>
        <w:jc w:val="both"/>
        <w:rPr>
          <w:i/>
          <w:lang w:val="ro-RO"/>
        </w:rPr>
      </w:pPr>
      <w:r>
        <w:rPr>
          <w:rStyle w:val="FootnoteReference"/>
        </w:rPr>
        <w:footnoteRef/>
      </w:r>
      <w:r>
        <w:t xml:space="preserve"> </w:t>
      </w:r>
      <w:proofErr w:type="gramStart"/>
      <w:r>
        <w:t>Conform</w:t>
      </w:r>
      <w:proofErr w:type="gramEnd"/>
      <w:r>
        <w:t xml:space="preserve"> art. </w:t>
      </w:r>
      <w:proofErr w:type="gramStart"/>
      <w:r>
        <w:t xml:space="preserve">964 </w:t>
      </w:r>
      <w:proofErr w:type="spellStart"/>
      <w:r>
        <w:t>alin</w:t>
      </w:r>
      <w:proofErr w:type="spellEnd"/>
      <w:r>
        <w:t>.</w:t>
      </w:r>
      <w:proofErr w:type="gramEnd"/>
      <w:r>
        <w:t xml:space="preserve"> (2) C.civ.: </w:t>
      </w:r>
      <w:proofErr w:type="spellStart"/>
      <w:r w:rsidRPr="00EF57A4">
        <w:rPr>
          <w:i/>
        </w:rPr>
        <w:t>dacă</w:t>
      </w:r>
      <w:proofErr w:type="spellEnd"/>
      <w:r w:rsidRPr="00EF57A4">
        <w:rPr>
          <w:i/>
        </w:rPr>
        <w:t xml:space="preserve"> </w:t>
      </w:r>
      <w:proofErr w:type="spellStart"/>
      <w:r w:rsidRPr="00EF57A4">
        <w:rPr>
          <w:i/>
        </w:rPr>
        <w:t>în</w:t>
      </w:r>
      <w:proofErr w:type="spellEnd"/>
      <w:r w:rsidRPr="00EF57A4">
        <w:rPr>
          <w:i/>
        </w:rPr>
        <w:t xml:space="preserve"> </w:t>
      </w:r>
      <w:proofErr w:type="spellStart"/>
      <w:r w:rsidRPr="00EF57A4">
        <w:rPr>
          <w:i/>
        </w:rPr>
        <w:t>urma</w:t>
      </w:r>
      <w:proofErr w:type="spellEnd"/>
      <w:r w:rsidRPr="00EF57A4">
        <w:rPr>
          <w:i/>
        </w:rPr>
        <w:t xml:space="preserve"> </w:t>
      </w:r>
      <w:proofErr w:type="spellStart"/>
      <w:r w:rsidRPr="00EF57A4">
        <w:rPr>
          <w:i/>
        </w:rPr>
        <w:t>dezmoştenirii</w:t>
      </w:r>
      <w:proofErr w:type="spellEnd"/>
      <w:r w:rsidRPr="00EF57A4">
        <w:rPr>
          <w:i/>
        </w:rPr>
        <w:t xml:space="preserve"> </w:t>
      </w:r>
      <w:proofErr w:type="spellStart"/>
      <w:r w:rsidRPr="00EF57A4">
        <w:rPr>
          <w:i/>
        </w:rPr>
        <w:t>rudele</w:t>
      </w:r>
      <w:proofErr w:type="spellEnd"/>
      <w:r w:rsidRPr="00EF57A4">
        <w:rPr>
          <w:i/>
        </w:rPr>
        <w:t xml:space="preserve"> </w:t>
      </w:r>
      <w:proofErr w:type="spellStart"/>
      <w:r w:rsidRPr="00EF57A4">
        <w:rPr>
          <w:i/>
        </w:rPr>
        <w:t>defunctului</w:t>
      </w:r>
      <w:proofErr w:type="spellEnd"/>
      <w:r w:rsidRPr="00EF57A4">
        <w:rPr>
          <w:i/>
        </w:rPr>
        <w:t xml:space="preserve"> din </w:t>
      </w:r>
      <w:proofErr w:type="spellStart"/>
      <w:r w:rsidRPr="00EF57A4">
        <w:rPr>
          <w:i/>
        </w:rPr>
        <w:t>clasa</w:t>
      </w:r>
      <w:proofErr w:type="spellEnd"/>
      <w:r w:rsidRPr="00EF57A4">
        <w:rPr>
          <w:i/>
        </w:rPr>
        <w:t xml:space="preserve"> </w:t>
      </w:r>
      <w:proofErr w:type="spellStart"/>
      <w:r w:rsidRPr="00EF57A4">
        <w:rPr>
          <w:i/>
        </w:rPr>
        <w:t>cea</w:t>
      </w:r>
      <w:proofErr w:type="spellEnd"/>
      <w:r w:rsidRPr="00EF57A4">
        <w:rPr>
          <w:i/>
        </w:rPr>
        <w:t xml:space="preserve"> </w:t>
      </w:r>
      <w:proofErr w:type="spellStart"/>
      <w:r w:rsidRPr="00EF57A4">
        <w:rPr>
          <w:i/>
        </w:rPr>
        <w:t>mai</w:t>
      </w:r>
      <w:proofErr w:type="spellEnd"/>
      <w:r w:rsidRPr="00EF57A4">
        <w:rPr>
          <w:i/>
        </w:rPr>
        <w:t xml:space="preserve"> </w:t>
      </w:r>
      <w:proofErr w:type="spellStart"/>
      <w:r w:rsidRPr="00EF57A4">
        <w:rPr>
          <w:i/>
        </w:rPr>
        <w:t>apropiată</w:t>
      </w:r>
      <w:proofErr w:type="spellEnd"/>
      <w:r w:rsidRPr="00EF57A4">
        <w:rPr>
          <w:i/>
        </w:rPr>
        <w:t xml:space="preserve"> nu pot </w:t>
      </w:r>
      <w:proofErr w:type="spellStart"/>
      <w:r w:rsidRPr="00EF57A4">
        <w:rPr>
          <w:i/>
        </w:rPr>
        <w:t>culege</w:t>
      </w:r>
      <w:proofErr w:type="spellEnd"/>
      <w:r w:rsidRPr="00EF57A4">
        <w:rPr>
          <w:i/>
        </w:rPr>
        <w:t xml:space="preserve"> </w:t>
      </w:r>
      <w:proofErr w:type="spellStart"/>
      <w:r w:rsidRPr="00EF57A4">
        <w:rPr>
          <w:i/>
        </w:rPr>
        <w:t>moştenirea</w:t>
      </w:r>
      <w:proofErr w:type="spellEnd"/>
      <w:r w:rsidRPr="00EF57A4">
        <w:rPr>
          <w:i/>
        </w:rPr>
        <w:t xml:space="preserve">, </w:t>
      </w:r>
      <w:proofErr w:type="spellStart"/>
      <w:r w:rsidRPr="00EF57A4">
        <w:rPr>
          <w:i/>
        </w:rPr>
        <w:t>atunci</w:t>
      </w:r>
      <w:proofErr w:type="spellEnd"/>
      <w:r w:rsidRPr="00EF57A4">
        <w:rPr>
          <w:i/>
        </w:rPr>
        <w:t xml:space="preserve"> </w:t>
      </w:r>
      <w:proofErr w:type="spellStart"/>
      <w:r w:rsidRPr="00EF57A4">
        <w:rPr>
          <w:i/>
        </w:rPr>
        <w:t>partea</w:t>
      </w:r>
      <w:proofErr w:type="spellEnd"/>
      <w:r w:rsidRPr="00EF57A4">
        <w:rPr>
          <w:i/>
        </w:rPr>
        <w:t xml:space="preserve"> </w:t>
      </w:r>
      <w:proofErr w:type="spellStart"/>
      <w:r w:rsidRPr="00EF57A4">
        <w:rPr>
          <w:i/>
        </w:rPr>
        <w:t>rămasă</w:t>
      </w:r>
      <w:proofErr w:type="spellEnd"/>
      <w:r w:rsidRPr="00EF57A4">
        <w:rPr>
          <w:i/>
        </w:rPr>
        <w:t xml:space="preserve"> se </w:t>
      </w:r>
      <w:proofErr w:type="spellStart"/>
      <w:r w:rsidRPr="00EF57A4">
        <w:rPr>
          <w:i/>
        </w:rPr>
        <w:t>atribuie</w:t>
      </w:r>
      <w:proofErr w:type="spellEnd"/>
      <w:r w:rsidRPr="00EF57A4">
        <w:rPr>
          <w:i/>
        </w:rPr>
        <w:t xml:space="preserve"> </w:t>
      </w:r>
      <w:proofErr w:type="spellStart"/>
      <w:r w:rsidRPr="00EF57A4">
        <w:rPr>
          <w:i/>
        </w:rPr>
        <w:t>rudelor</w:t>
      </w:r>
      <w:proofErr w:type="spellEnd"/>
      <w:r w:rsidRPr="00EF57A4">
        <w:rPr>
          <w:i/>
        </w:rPr>
        <w:t xml:space="preserve"> din </w:t>
      </w:r>
      <w:proofErr w:type="spellStart"/>
      <w:r w:rsidRPr="00EF57A4">
        <w:rPr>
          <w:i/>
        </w:rPr>
        <w:t>clasa</w:t>
      </w:r>
      <w:proofErr w:type="spellEnd"/>
      <w:r w:rsidRPr="00EF57A4">
        <w:rPr>
          <w:i/>
        </w:rPr>
        <w:t xml:space="preserve"> </w:t>
      </w:r>
      <w:proofErr w:type="spellStart"/>
      <w:r w:rsidRPr="00EF57A4">
        <w:rPr>
          <w:i/>
        </w:rPr>
        <w:t>subsecventă</w:t>
      </w:r>
      <w:proofErr w:type="spellEnd"/>
      <w:r w:rsidRPr="00EF57A4">
        <w:rPr>
          <w:i/>
        </w:rPr>
        <w:t xml:space="preserve"> care </w:t>
      </w:r>
      <w:proofErr w:type="spellStart"/>
      <w:r w:rsidRPr="00EF57A4">
        <w:rPr>
          <w:i/>
        </w:rPr>
        <w:t>îndeplinesc</w:t>
      </w:r>
      <w:proofErr w:type="spellEnd"/>
      <w:r w:rsidRPr="00EF57A4">
        <w:rPr>
          <w:i/>
        </w:rPr>
        <w:t xml:space="preserve"> </w:t>
      </w:r>
      <w:proofErr w:type="spellStart"/>
      <w:r w:rsidRPr="00EF57A4">
        <w:rPr>
          <w:i/>
        </w:rPr>
        <w:t>condiţiile</w:t>
      </w:r>
      <w:proofErr w:type="spellEnd"/>
      <w:r w:rsidRPr="00EF57A4">
        <w:rPr>
          <w:i/>
        </w:rPr>
        <w:t xml:space="preserve"> </w:t>
      </w:r>
      <w:proofErr w:type="spellStart"/>
      <w:r w:rsidRPr="00EF57A4">
        <w:rPr>
          <w:i/>
        </w:rPr>
        <w:t>pentru</w:t>
      </w:r>
      <w:proofErr w:type="spellEnd"/>
      <w:r w:rsidRPr="00EF57A4">
        <w:rPr>
          <w:i/>
        </w:rPr>
        <w:t xml:space="preserve"> a </w:t>
      </w:r>
      <w:proofErr w:type="spellStart"/>
      <w:r w:rsidRPr="00EF57A4">
        <w:rPr>
          <w:i/>
        </w:rPr>
        <w:t>moşteni</w:t>
      </w:r>
      <w:proofErr w:type="spellEnd"/>
      <w:r w:rsidRPr="00EF57A4">
        <w:rPr>
          <w: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F4650"/>
    <w:multiLevelType w:val="hybridMultilevel"/>
    <w:tmpl w:val="C0D8A0B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69DE"/>
    <w:rsid w:val="000078C6"/>
    <w:rsid w:val="00013E66"/>
    <w:rsid w:val="0002542D"/>
    <w:rsid w:val="00054D6F"/>
    <w:rsid w:val="00065FA9"/>
    <w:rsid w:val="000C1BD3"/>
    <w:rsid w:val="000C1DA9"/>
    <w:rsid w:val="000D43A7"/>
    <w:rsid w:val="000E0A23"/>
    <w:rsid w:val="000E3731"/>
    <w:rsid w:val="000E6D5A"/>
    <w:rsid w:val="001172C4"/>
    <w:rsid w:val="001264DE"/>
    <w:rsid w:val="00126F25"/>
    <w:rsid w:val="00141C4B"/>
    <w:rsid w:val="001428B1"/>
    <w:rsid w:val="00143184"/>
    <w:rsid w:val="00157467"/>
    <w:rsid w:val="00171AED"/>
    <w:rsid w:val="00190529"/>
    <w:rsid w:val="00190878"/>
    <w:rsid w:val="001A15A9"/>
    <w:rsid w:val="001A4210"/>
    <w:rsid w:val="001A47B2"/>
    <w:rsid w:val="001A50A5"/>
    <w:rsid w:val="001A611F"/>
    <w:rsid w:val="001B57A0"/>
    <w:rsid w:val="001B6CD4"/>
    <w:rsid w:val="001D28FA"/>
    <w:rsid w:val="001D68EB"/>
    <w:rsid w:val="001E3979"/>
    <w:rsid w:val="00200A09"/>
    <w:rsid w:val="00212701"/>
    <w:rsid w:val="002205AA"/>
    <w:rsid w:val="00225E4B"/>
    <w:rsid w:val="00230EF2"/>
    <w:rsid w:val="00242EA8"/>
    <w:rsid w:val="00250714"/>
    <w:rsid w:val="00253866"/>
    <w:rsid w:val="002669DD"/>
    <w:rsid w:val="00287EA9"/>
    <w:rsid w:val="002A2192"/>
    <w:rsid w:val="002B3BAE"/>
    <w:rsid w:val="002D3986"/>
    <w:rsid w:val="002D6E49"/>
    <w:rsid w:val="002E05EA"/>
    <w:rsid w:val="002E63B6"/>
    <w:rsid w:val="002F4420"/>
    <w:rsid w:val="00303923"/>
    <w:rsid w:val="00311743"/>
    <w:rsid w:val="00333EF8"/>
    <w:rsid w:val="003466FD"/>
    <w:rsid w:val="003566EE"/>
    <w:rsid w:val="003722B1"/>
    <w:rsid w:val="00376E99"/>
    <w:rsid w:val="003874BA"/>
    <w:rsid w:val="003A2AB5"/>
    <w:rsid w:val="003B4EDC"/>
    <w:rsid w:val="003C5E48"/>
    <w:rsid w:val="003E430D"/>
    <w:rsid w:val="003E6E84"/>
    <w:rsid w:val="00401DC2"/>
    <w:rsid w:val="00403A63"/>
    <w:rsid w:val="0041113D"/>
    <w:rsid w:val="0041475F"/>
    <w:rsid w:val="00431721"/>
    <w:rsid w:val="00432415"/>
    <w:rsid w:val="004458C4"/>
    <w:rsid w:val="00460EBA"/>
    <w:rsid w:val="004671F0"/>
    <w:rsid w:val="00473EE4"/>
    <w:rsid w:val="00474BD2"/>
    <w:rsid w:val="004927A5"/>
    <w:rsid w:val="0049491C"/>
    <w:rsid w:val="004A3E31"/>
    <w:rsid w:val="004A7467"/>
    <w:rsid w:val="004B6D5E"/>
    <w:rsid w:val="004C29D0"/>
    <w:rsid w:val="004C4AF5"/>
    <w:rsid w:val="004E00C4"/>
    <w:rsid w:val="004F637A"/>
    <w:rsid w:val="004F680C"/>
    <w:rsid w:val="0051192F"/>
    <w:rsid w:val="00511996"/>
    <w:rsid w:val="005217A4"/>
    <w:rsid w:val="00533DD0"/>
    <w:rsid w:val="0054310C"/>
    <w:rsid w:val="005706FC"/>
    <w:rsid w:val="00572793"/>
    <w:rsid w:val="0059001F"/>
    <w:rsid w:val="005A1837"/>
    <w:rsid w:val="005A606A"/>
    <w:rsid w:val="005E2B73"/>
    <w:rsid w:val="005E5467"/>
    <w:rsid w:val="005F45F4"/>
    <w:rsid w:val="0060056E"/>
    <w:rsid w:val="00604776"/>
    <w:rsid w:val="00617DDA"/>
    <w:rsid w:val="00630D23"/>
    <w:rsid w:val="0063139F"/>
    <w:rsid w:val="00636160"/>
    <w:rsid w:val="006477B3"/>
    <w:rsid w:val="0065205A"/>
    <w:rsid w:val="00660A49"/>
    <w:rsid w:val="0067184B"/>
    <w:rsid w:val="006746BF"/>
    <w:rsid w:val="00674F10"/>
    <w:rsid w:val="00693531"/>
    <w:rsid w:val="006943AB"/>
    <w:rsid w:val="006A1833"/>
    <w:rsid w:val="006D0B04"/>
    <w:rsid w:val="006D614C"/>
    <w:rsid w:val="006E1D29"/>
    <w:rsid w:val="006E687A"/>
    <w:rsid w:val="006F1969"/>
    <w:rsid w:val="006F65D0"/>
    <w:rsid w:val="00704738"/>
    <w:rsid w:val="007102CB"/>
    <w:rsid w:val="00716A80"/>
    <w:rsid w:val="00726B66"/>
    <w:rsid w:val="00737387"/>
    <w:rsid w:val="00747AC2"/>
    <w:rsid w:val="00750596"/>
    <w:rsid w:val="00770771"/>
    <w:rsid w:val="007761A4"/>
    <w:rsid w:val="007956D5"/>
    <w:rsid w:val="007C6D2E"/>
    <w:rsid w:val="007D0C08"/>
    <w:rsid w:val="007D1CD7"/>
    <w:rsid w:val="007E082A"/>
    <w:rsid w:val="007E6506"/>
    <w:rsid w:val="007F40C6"/>
    <w:rsid w:val="00807E5A"/>
    <w:rsid w:val="00811E56"/>
    <w:rsid w:val="00833835"/>
    <w:rsid w:val="00833871"/>
    <w:rsid w:val="00836B56"/>
    <w:rsid w:val="00851D29"/>
    <w:rsid w:val="00857081"/>
    <w:rsid w:val="00861946"/>
    <w:rsid w:val="00891BDD"/>
    <w:rsid w:val="008B0DB7"/>
    <w:rsid w:val="008B205C"/>
    <w:rsid w:val="008C6EFC"/>
    <w:rsid w:val="008D16E9"/>
    <w:rsid w:val="008D2A63"/>
    <w:rsid w:val="008D4D05"/>
    <w:rsid w:val="0091795A"/>
    <w:rsid w:val="00936FA6"/>
    <w:rsid w:val="0095188B"/>
    <w:rsid w:val="00956F17"/>
    <w:rsid w:val="009616F1"/>
    <w:rsid w:val="009671C4"/>
    <w:rsid w:val="00971439"/>
    <w:rsid w:val="00975393"/>
    <w:rsid w:val="009878FF"/>
    <w:rsid w:val="00994394"/>
    <w:rsid w:val="009A0576"/>
    <w:rsid w:val="009B3267"/>
    <w:rsid w:val="009B5300"/>
    <w:rsid w:val="009C61E0"/>
    <w:rsid w:val="009D049B"/>
    <w:rsid w:val="009D2B63"/>
    <w:rsid w:val="009E260C"/>
    <w:rsid w:val="009E34CB"/>
    <w:rsid w:val="009E7AFB"/>
    <w:rsid w:val="009F0889"/>
    <w:rsid w:val="009F4EF9"/>
    <w:rsid w:val="009F5693"/>
    <w:rsid w:val="009F76D3"/>
    <w:rsid w:val="00A02DBC"/>
    <w:rsid w:val="00A05592"/>
    <w:rsid w:val="00A10ED4"/>
    <w:rsid w:val="00A21C21"/>
    <w:rsid w:val="00A22C7B"/>
    <w:rsid w:val="00A363B8"/>
    <w:rsid w:val="00A36856"/>
    <w:rsid w:val="00A53CE7"/>
    <w:rsid w:val="00A65934"/>
    <w:rsid w:val="00A970F4"/>
    <w:rsid w:val="00AB14E7"/>
    <w:rsid w:val="00AB572A"/>
    <w:rsid w:val="00AC2928"/>
    <w:rsid w:val="00AC4E06"/>
    <w:rsid w:val="00AD0E7B"/>
    <w:rsid w:val="00AD3B36"/>
    <w:rsid w:val="00AE0E86"/>
    <w:rsid w:val="00AE254D"/>
    <w:rsid w:val="00AE3EA4"/>
    <w:rsid w:val="00AE6834"/>
    <w:rsid w:val="00AF0C17"/>
    <w:rsid w:val="00AF1359"/>
    <w:rsid w:val="00B0694A"/>
    <w:rsid w:val="00B120CB"/>
    <w:rsid w:val="00B276E4"/>
    <w:rsid w:val="00B30FF1"/>
    <w:rsid w:val="00B33F68"/>
    <w:rsid w:val="00B71C1A"/>
    <w:rsid w:val="00B72372"/>
    <w:rsid w:val="00B74DF3"/>
    <w:rsid w:val="00B76098"/>
    <w:rsid w:val="00B829BD"/>
    <w:rsid w:val="00B83A16"/>
    <w:rsid w:val="00BA18BE"/>
    <w:rsid w:val="00BA3CF9"/>
    <w:rsid w:val="00BB73EA"/>
    <w:rsid w:val="00BD3D06"/>
    <w:rsid w:val="00BE229C"/>
    <w:rsid w:val="00BF3126"/>
    <w:rsid w:val="00BF7F76"/>
    <w:rsid w:val="00C10C81"/>
    <w:rsid w:val="00C147FD"/>
    <w:rsid w:val="00C165C3"/>
    <w:rsid w:val="00C35E76"/>
    <w:rsid w:val="00C5329A"/>
    <w:rsid w:val="00C571A6"/>
    <w:rsid w:val="00C74F45"/>
    <w:rsid w:val="00CA425C"/>
    <w:rsid w:val="00CA7885"/>
    <w:rsid w:val="00CB1F39"/>
    <w:rsid w:val="00CD3E8B"/>
    <w:rsid w:val="00CF2ED2"/>
    <w:rsid w:val="00CF44D3"/>
    <w:rsid w:val="00D13C0A"/>
    <w:rsid w:val="00D1654A"/>
    <w:rsid w:val="00D53696"/>
    <w:rsid w:val="00D55A4A"/>
    <w:rsid w:val="00D60861"/>
    <w:rsid w:val="00D65BBF"/>
    <w:rsid w:val="00D72CAD"/>
    <w:rsid w:val="00D905E8"/>
    <w:rsid w:val="00DA1BBF"/>
    <w:rsid w:val="00DC2FBB"/>
    <w:rsid w:val="00DF1E8D"/>
    <w:rsid w:val="00E01379"/>
    <w:rsid w:val="00E14AF5"/>
    <w:rsid w:val="00E1629D"/>
    <w:rsid w:val="00E3313E"/>
    <w:rsid w:val="00E37843"/>
    <w:rsid w:val="00E417B5"/>
    <w:rsid w:val="00E46D19"/>
    <w:rsid w:val="00E557AB"/>
    <w:rsid w:val="00E56672"/>
    <w:rsid w:val="00E64A7E"/>
    <w:rsid w:val="00E7009E"/>
    <w:rsid w:val="00E754DE"/>
    <w:rsid w:val="00E81527"/>
    <w:rsid w:val="00E944C4"/>
    <w:rsid w:val="00EA0C9E"/>
    <w:rsid w:val="00EA4812"/>
    <w:rsid w:val="00EB5A62"/>
    <w:rsid w:val="00EC37F3"/>
    <w:rsid w:val="00EC6747"/>
    <w:rsid w:val="00EF57A4"/>
    <w:rsid w:val="00F061AF"/>
    <w:rsid w:val="00F1333D"/>
    <w:rsid w:val="00F21360"/>
    <w:rsid w:val="00F23C05"/>
    <w:rsid w:val="00F24254"/>
    <w:rsid w:val="00F264FD"/>
    <w:rsid w:val="00F31594"/>
    <w:rsid w:val="00F43E7D"/>
    <w:rsid w:val="00F642CF"/>
    <w:rsid w:val="00F669DE"/>
    <w:rsid w:val="00F7044D"/>
    <w:rsid w:val="00F74E00"/>
    <w:rsid w:val="00F956F5"/>
    <w:rsid w:val="00FA396B"/>
    <w:rsid w:val="00FC4F87"/>
    <w:rsid w:val="00FC4FEA"/>
    <w:rsid w:val="00FD547E"/>
    <w:rsid w:val="00FE08B1"/>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45"/>
  </w:style>
  <w:style w:type="paragraph" w:styleId="Heading2">
    <w:name w:val="heading 2"/>
    <w:basedOn w:val="Normal"/>
    <w:next w:val="Normal"/>
    <w:link w:val="Heading2Char"/>
    <w:uiPriority w:val="9"/>
    <w:unhideWhenUsed/>
    <w:qFormat/>
    <w:rsid w:val="00E01379"/>
    <w:pPr>
      <w:keepNext/>
      <w:keepLines/>
      <w:spacing w:after="0" w:line="360" w:lineRule="auto"/>
      <w:jc w:val="both"/>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1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DC2"/>
    <w:rPr>
      <w:sz w:val="20"/>
      <w:szCs w:val="20"/>
    </w:rPr>
  </w:style>
  <w:style w:type="character" w:styleId="FootnoteReference">
    <w:name w:val="footnote reference"/>
    <w:basedOn w:val="DefaultParagraphFont"/>
    <w:uiPriority w:val="99"/>
    <w:semiHidden/>
    <w:unhideWhenUsed/>
    <w:rsid w:val="00401DC2"/>
    <w:rPr>
      <w:vertAlign w:val="superscript"/>
    </w:rPr>
  </w:style>
  <w:style w:type="paragraph" w:styleId="Header">
    <w:name w:val="header"/>
    <w:basedOn w:val="Normal"/>
    <w:link w:val="HeaderChar"/>
    <w:uiPriority w:val="99"/>
    <w:semiHidden/>
    <w:unhideWhenUsed/>
    <w:rsid w:val="00674F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F10"/>
  </w:style>
  <w:style w:type="paragraph" w:styleId="Footer">
    <w:name w:val="footer"/>
    <w:basedOn w:val="Normal"/>
    <w:link w:val="FooterChar"/>
    <w:uiPriority w:val="99"/>
    <w:unhideWhenUsed/>
    <w:rsid w:val="00674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F10"/>
  </w:style>
  <w:style w:type="paragraph" w:styleId="BalloonText">
    <w:name w:val="Balloon Text"/>
    <w:basedOn w:val="Normal"/>
    <w:link w:val="BalloonTextChar"/>
    <w:uiPriority w:val="99"/>
    <w:semiHidden/>
    <w:unhideWhenUsed/>
    <w:rsid w:val="00376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E99"/>
    <w:rPr>
      <w:rFonts w:ascii="Tahoma" w:hAnsi="Tahoma" w:cs="Tahoma"/>
      <w:sz w:val="16"/>
      <w:szCs w:val="16"/>
    </w:rPr>
  </w:style>
  <w:style w:type="paragraph" w:styleId="ListParagraph">
    <w:name w:val="List Paragraph"/>
    <w:basedOn w:val="Normal"/>
    <w:uiPriority w:val="34"/>
    <w:qFormat/>
    <w:rsid w:val="001E3979"/>
    <w:pPr>
      <w:ind w:left="720"/>
      <w:contextualSpacing/>
    </w:pPr>
  </w:style>
  <w:style w:type="table" w:styleId="TableGrid">
    <w:name w:val="Table Grid"/>
    <w:basedOn w:val="TableNormal"/>
    <w:uiPriority w:val="59"/>
    <w:rsid w:val="00861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D6F"/>
    <w:rPr>
      <w:color w:val="0000FF" w:themeColor="hyperlink"/>
      <w:u w:val="single"/>
    </w:rPr>
  </w:style>
  <w:style w:type="character" w:customStyle="1" w:styleId="Heading2Char">
    <w:name w:val="Heading 2 Char"/>
    <w:basedOn w:val="DefaultParagraphFont"/>
    <w:link w:val="Heading2"/>
    <w:uiPriority w:val="9"/>
    <w:rsid w:val="00E01379"/>
    <w:rPr>
      <w:rFonts w:eastAsiaTheme="majorEastAsia" w:cstheme="majorBidi"/>
      <w:b/>
      <w:bCs/>
      <w:color w:val="000000" w:themeColor="text1"/>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france.gouv.fr/affichCode.do;jsessionid=BC6E8CBADBE9C45DBAE78675B155EF61.tpdila16v_2?idSectionTA=LEGISCTA000006136314&amp;cidTexte=LEGITEXT000006070721&amp;dateTexte=20060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11</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cp:lastModifiedBy>
  <cp:revision>7</cp:revision>
  <dcterms:created xsi:type="dcterms:W3CDTF">2016-04-28T12:12:00Z</dcterms:created>
  <dcterms:modified xsi:type="dcterms:W3CDTF">2016-04-28T20:12:00Z</dcterms:modified>
</cp:coreProperties>
</file>